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leftChars="0" w:firstLine="0" w:firstLineChars="0"/>
        <w:rPr>
          <w:rFonts w:ascii="仿宋" w:hAnsi="仿宋" w:eastAsia="仿宋"/>
          <w:sz w:val="32"/>
          <w:szCs w:val="32"/>
        </w:rPr>
      </w:pPr>
    </w:p>
    <w:tbl>
      <w:tblPr>
        <w:tblStyle w:val="10"/>
        <w:tblpPr w:leftFromText="181" w:rightFromText="181" w:vertAnchor="page" w:horzAnchor="page" w:tblpX="1531" w:tblpY="22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noWrap w:val="0"/>
            <w:vAlign w:val="top"/>
          </w:tcPr>
          <w:p>
            <w:pPr>
              <w:ind w:right="210" w:rightChars="100"/>
              <w:jc w:val="distribute"/>
              <w:rPr>
                <w:rFonts w:hint="eastAsia" w:ascii="方正仿宋_GBK" w:eastAsia="方正仿宋_GBK"/>
              </w:rPr>
            </w:pPr>
          </w:p>
        </w:tc>
      </w:tr>
    </w:tbl>
    <w:p>
      <w:pPr>
        <w:jc w:val="center"/>
        <w:rPr>
          <w:rFonts w:hint="eastAsia" w:ascii="楷体" w:eastAsia="楷体"/>
          <w:szCs w:val="21"/>
        </w:rPr>
      </w:pPr>
      <w:r>
        <w:rPr>
          <w:rFonts w:hint="eastAsia" w:ascii="Times New Roman" w:hAnsi="Times New Roman" w:eastAsia="仿宋"/>
          <w:sz w:val="32"/>
          <w:szCs w:val="32"/>
          <w:lang w:val="en-US" w:eastAsia="zh-CN"/>
        </w:rPr>
        <w:t>锡新环科环许</w:t>
      </w:r>
      <w:r>
        <w:rPr>
          <w:rFonts w:hint="eastAsia" w:ascii="Times New Roman" w:hAnsi="Times New Roman" w:eastAsia="仿宋"/>
          <w:sz w:val="32"/>
          <w:szCs w:val="32"/>
        </w:rPr>
        <w:t>〔202</w:t>
      </w:r>
      <w:r>
        <w:rPr>
          <w:rFonts w:hint="eastAsia" w:ascii="Times New Roman" w:hAnsi="Times New Roman" w:eastAsia="仿宋"/>
          <w:sz w:val="32"/>
          <w:szCs w:val="32"/>
          <w:lang w:val="en-US" w:eastAsia="zh-CN"/>
        </w:rPr>
        <w:t>5</w:t>
      </w:r>
      <w:r>
        <w:rPr>
          <w:rFonts w:hint="eastAsia" w:ascii="Times New Roman" w:hAnsi="Times New Roman" w:eastAsia="仿宋" w:cs="微软雅黑"/>
          <w:sz w:val="32"/>
          <w:szCs w:val="32"/>
        </w:rPr>
        <w:t>〕</w:t>
      </w:r>
      <w:r>
        <w:rPr>
          <w:rFonts w:hint="eastAsia" w:ascii="Times New Roman" w:hAnsi="Times New Roman" w:eastAsia="仿宋" w:cs="微软雅黑"/>
          <w:sz w:val="32"/>
          <w:szCs w:val="32"/>
          <w:lang w:val="en-US" w:eastAsia="zh-CN"/>
        </w:rPr>
        <w:t>27</w:t>
      </w:r>
      <w:r>
        <w:rPr>
          <w:rFonts w:hint="eastAsia" w:ascii="Times New Roman" w:hAnsi="Times New Roman" w:eastAsia="仿宋"/>
          <w:sz w:val="32"/>
          <w:szCs w:val="32"/>
        </w:rPr>
        <w:t>号</w:t>
      </w:r>
    </w:p>
    <w:p>
      <w:pPr>
        <w:pStyle w:val="2"/>
        <w:keepNext/>
        <w:keepLines/>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color w:val="auto"/>
          <w:sz w:val="32"/>
          <w:szCs w:val="32"/>
        </w:rPr>
      </w:pPr>
      <w:r>
        <w:rPr>
          <w:rFonts w:hint="default" w:ascii="Times New Roman" w:hAnsi="Times New Roman" w:eastAsia="黑体" w:cs="Times New Roman"/>
          <w:sz w:val="44"/>
          <w:szCs w:val="44"/>
        </w:rPr>
        <w:t>关于宜兴苏欣老年病医院有限公司宜兴苏欣老年病医院建设项目环境影响报告表的批复</w:t>
      </w:r>
    </w:p>
    <w:p>
      <w:pPr>
        <w:keepNext w:val="0"/>
        <w:keepLines w:val="0"/>
        <w:pageBreakBefore w:val="0"/>
        <w:widowControl w:val="0"/>
        <w:tabs>
          <w:tab w:val="left" w:pos="8925"/>
        </w:tabs>
        <w:kinsoku/>
        <w:wordWrap/>
        <w:overflowPunct/>
        <w:topLinePunct w:val="0"/>
        <w:autoSpaceDE/>
        <w:autoSpaceDN/>
        <w:bidi w:val="0"/>
        <w:adjustRightInd/>
        <w:snapToGrid/>
        <w:spacing w:line="560" w:lineRule="exact"/>
        <w:ind w:left="0" w:leftChars="0" w:right="466" w:rightChars="222" w:firstLine="0" w:firstLineChars="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宜兴苏欣老年病医院有限公司：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你公司申请报批的《宜兴苏欣老年病医院建设项目环境影响报告表》（以下简称“报告表”）及相关文件均悉。经研究，批复如下：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一、</w:t>
      </w:r>
      <w:r>
        <w:rPr>
          <w:rFonts w:hint="default" w:ascii="Times New Roman" w:hAnsi="Times New Roman" w:eastAsia="方正仿宋_GBK" w:cs="Times New Roman"/>
          <w:sz w:val="32"/>
          <w:szCs w:val="32"/>
        </w:rPr>
        <w:t>根据</w:t>
      </w:r>
      <w:r>
        <w:rPr>
          <w:rFonts w:hint="eastAsia" w:ascii="Times New Roman" w:hAnsi="Times New Roman" w:eastAsia="方正仿宋_GBK" w:cs="Times New Roman"/>
          <w:sz w:val="32"/>
          <w:szCs w:val="32"/>
          <w:lang w:val="en-US" w:eastAsia="zh-CN"/>
        </w:rPr>
        <w:t>江苏省投资项目备案证</w:t>
      </w:r>
      <w:r>
        <w:rPr>
          <w:rFonts w:hint="default" w:ascii="Times New Roman" w:hAnsi="Times New Roman" w:eastAsia="方正仿宋_GBK" w:cs="Times New Roman"/>
          <w:sz w:val="32"/>
          <w:szCs w:val="32"/>
        </w:rPr>
        <w:t>（锡新环科备〔2025〕251号）、</w:t>
      </w:r>
      <w:r>
        <w:rPr>
          <w:rFonts w:hint="eastAsia" w:ascii="Times New Roman" w:hAnsi="Times New Roman" w:eastAsia="方正仿宋_GBK" w:cs="Times New Roman"/>
          <w:sz w:val="32"/>
          <w:szCs w:val="32"/>
          <w:lang w:val="en-US" w:eastAsia="zh-CN"/>
        </w:rPr>
        <w:t>无锡市生态环境局行政处罚事先（听证）告知书（锡宜环罚告字〔2025〕62号、63号）、宜兴市住房和城乡建设局（原宜兴市公用事业管理局）意见、</w:t>
      </w:r>
      <w:r>
        <w:rPr>
          <w:rFonts w:hint="default" w:ascii="Times New Roman" w:hAnsi="Times New Roman" w:eastAsia="方正仿宋_GBK" w:cs="Times New Roman"/>
          <w:sz w:val="32"/>
          <w:szCs w:val="32"/>
          <w:lang w:val="en-US" w:eastAsia="zh-CN"/>
        </w:rPr>
        <w:t>技术评估意见（绿院评估〔202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709</w:t>
      </w:r>
      <w:r>
        <w:rPr>
          <w:rFonts w:hint="default" w:ascii="Times New Roman" w:hAnsi="Times New Roman" w:eastAsia="方正仿宋_GBK" w:cs="Times New Roman"/>
          <w:sz w:val="32"/>
          <w:szCs w:val="32"/>
          <w:lang w:val="en-US" w:eastAsia="zh-CN"/>
        </w:rPr>
        <w:t>号）</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《报告表》结论</w:t>
      </w:r>
      <w:r>
        <w:rPr>
          <w:rFonts w:hint="default" w:ascii="Times New Roman" w:hAnsi="Times New Roman" w:eastAsia="方正仿宋_GBK" w:cs="Times New Roman"/>
          <w:sz w:val="32"/>
          <w:szCs w:val="32"/>
          <w:lang w:val="en-US" w:eastAsia="zh-CN"/>
        </w:rPr>
        <w:t>等</w:t>
      </w:r>
      <w:r>
        <w:rPr>
          <w:rFonts w:hint="default" w:ascii="Times New Roman" w:hAnsi="Times New Roman" w:eastAsia="方正仿宋_GBK" w:cs="Times New Roman"/>
          <w:sz w:val="32"/>
          <w:szCs w:val="32"/>
        </w:rPr>
        <w:t>，在符合相关规划和用地法律法规政策、</w:t>
      </w:r>
      <w:r>
        <w:rPr>
          <w:rFonts w:hint="default" w:ascii="Times New Roman" w:hAnsi="Times New Roman" w:eastAsia="方正仿宋_GBK" w:cs="Times New Roman"/>
          <w:sz w:val="32"/>
          <w:szCs w:val="32"/>
          <w:lang w:val="en-US" w:eastAsia="zh-CN"/>
        </w:rPr>
        <w:t>并</w:t>
      </w:r>
      <w:r>
        <w:rPr>
          <w:rFonts w:hint="default" w:ascii="Times New Roman" w:hAnsi="Times New Roman" w:eastAsia="方正仿宋_GBK" w:cs="Times New Roman"/>
          <w:sz w:val="32"/>
          <w:szCs w:val="32"/>
        </w:rPr>
        <w:t>落实《报告表》中提出的各项污染防治措施和风险防范措施的前提下，仅从生态环境角度考虑，同意你公司按《报告表》所述内容建设，限按所报地点、内容、规模建设生产。</w:t>
      </w:r>
    </w:p>
    <w:p>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项目建设地点位于宜兴市新街街道兴业路1号</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项目总投资</w:t>
      </w:r>
      <w:r>
        <w:rPr>
          <w:rFonts w:hint="eastAsia" w:ascii="Times New Roman" w:hAnsi="Times New Roman" w:eastAsia="方正仿宋_GBK" w:cs="Times New Roman"/>
          <w:color w:val="auto"/>
          <w:sz w:val="32"/>
          <w:szCs w:val="32"/>
          <w:lang w:val="en-US" w:eastAsia="zh-CN"/>
        </w:rPr>
        <w:t>300</w:t>
      </w:r>
      <w:r>
        <w:rPr>
          <w:rFonts w:hint="default" w:ascii="Times New Roman" w:hAnsi="Times New Roman" w:eastAsia="方正仿宋_GBK" w:cs="Times New Roman"/>
          <w:color w:val="auto"/>
          <w:sz w:val="32"/>
          <w:szCs w:val="32"/>
        </w:rPr>
        <w:t>万元</w:t>
      </w:r>
      <w:r>
        <w:rPr>
          <w:rFonts w:hint="eastAsia" w:ascii="Times New Roman" w:hAnsi="Times New Roman" w:eastAsia="方正仿宋_GBK" w:cs="Times New Roman"/>
          <w:sz w:val="32"/>
          <w:szCs w:val="32"/>
          <w:lang w:val="en-US" w:eastAsia="zh-CN"/>
        </w:rPr>
        <w:t>。项目建成后宜兴苏欣老年病医院有限公司包括医疗综合楼、养老护理楼、食堂、配套供电等，配备住院床位290张。</w:t>
      </w:r>
      <w:r>
        <w:rPr>
          <w:rFonts w:hint="default" w:ascii="Times New Roman" w:hAnsi="Times New Roman" w:eastAsia="方正仿宋_GBK" w:cs="Times New Roman"/>
          <w:color w:val="auto"/>
          <w:sz w:val="32"/>
          <w:szCs w:val="32"/>
          <w:lang w:val="en-US" w:eastAsia="zh-CN"/>
        </w:rPr>
        <w:t>主要</w:t>
      </w:r>
      <w:r>
        <w:rPr>
          <w:rFonts w:hint="eastAsia" w:ascii="Times New Roman" w:hAnsi="Times New Roman" w:eastAsia="方正仿宋_GBK" w:cs="Times New Roman"/>
          <w:color w:val="auto"/>
          <w:sz w:val="32"/>
          <w:szCs w:val="32"/>
          <w:lang w:val="en-US" w:eastAsia="zh-CN"/>
        </w:rPr>
        <w:t>医疗</w:t>
      </w:r>
      <w:r>
        <w:rPr>
          <w:rFonts w:hint="default" w:ascii="Times New Roman" w:hAnsi="Times New Roman" w:eastAsia="方正仿宋_GBK" w:cs="Times New Roman"/>
          <w:color w:val="auto"/>
          <w:sz w:val="32"/>
          <w:szCs w:val="32"/>
          <w:lang w:val="en-US" w:eastAsia="zh-CN"/>
        </w:rPr>
        <w:t>设备及设施</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原辅料必须与环评报告表表2</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2-3、</w:t>
      </w:r>
      <w:r>
        <w:rPr>
          <w:rFonts w:hint="default"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val="en-US" w:eastAsia="zh-CN"/>
        </w:rPr>
        <w:t>一致。</w:t>
      </w:r>
      <w:r>
        <w:rPr>
          <w:rFonts w:hint="default" w:ascii="Times New Roman" w:hAnsi="Times New Roman" w:eastAsia="方正仿宋_GBK" w:cs="Times New Roman"/>
          <w:color w:val="auto"/>
          <w:sz w:val="32"/>
          <w:szCs w:val="32"/>
        </w:rPr>
        <w:t>项目</w:t>
      </w:r>
      <w:r>
        <w:rPr>
          <w:rFonts w:hint="eastAsia" w:ascii="Times New Roman" w:hAnsi="Times New Roman" w:eastAsia="方正仿宋_GBK" w:cs="Times New Roman"/>
          <w:color w:val="auto"/>
          <w:sz w:val="32"/>
          <w:szCs w:val="32"/>
          <w:lang w:val="en-US" w:eastAsia="zh-CN"/>
        </w:rPr>
        <w:t>生产</w:t>
      </w:r>
      <w:r>
        <w:rPr>
          <w:rFonts w:hint="default" w:ascii="Times New Roman" w:hAnsi="Times New Roman" w:eastAsia="方正仿宋_GBK" w:cs="Times New Roman"/>
          <w:color w:val="auto"/>
          <w:sz w:val="32"/>
          <w:szCs w:val="32"/>
        </w:rPr>
        <w:t>内容必须严格按照《报告表》所述内容执行，不得擅自改变。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黑体_GBK" w:cs="Times New Roman"/>
          <w:color w:val="auto"/>
          <w:sz w:val="32"/>
          <w:szCs w:val="32"/>
        </w:rPr>
        <w:t>二、</w:t>
      </w:r>
      <w:r>
        <w:rPr>
          <w:rFonts w:hint="eastAsia" w:ascii="Times New Roman" w:hAnsi="Times New Roman" w:eastAsia="方正仿宋_GBK" w:cs="Times New Roman"/>
          <w:color w:val="auto"/>
          <w:kern w:val="2"/>
          <w:sz w:val="32"/>
          <w:szCs w:val="32"/>
          <w:lang w:val="en-US" w:eastAsia="zh-CN" w:bidi="ar-SA"/>
        </w:rPr>
        <w:t>在项目工程设计、建设和环境管理中，你单位必须逐项落实《报告表》中提出的各项环保要求，确保污染物达标排放，并着重做好以下工作</w:t>
      </w:r>
      <w:r>
        <w:rPr>
          <w:rFonts w:hint="default" w:ascii="Times New Roman" w:hAnsi="Times New Roman" w:eastAsia="方正仿宋_GBK" w:cs="Times New Roman"/>
          <w:color w:val="auto"/>
          <w:kern w:val="2"/>
          <w:sz w:val="32"/>
          <w:szCs w:val="32"/>
          <w:lang w:val="en-US" w:eastAsia="zh-CN" w:bidi="ar-SA"/>
        </w:rPr>
        <w:t>：</w:t>
      </w:r>
    </w:p>
    <w:p>
      <w:pPr>
        <w:pStyle w:val="13"/>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rPr>
        <w:t>1、</w:t>
      </w:r>
      <w:r>
        <w:rPr>
          <w:rFonts w:hint="eastAsia" w:ascii="方正仿宋_GBK" w:hAnsi="方正仿宋_GBK" w:eastAsia="方正仿宋_GBK" w:cs="方正仿宋_GBK"/>
          <w:color w:val="auto"/>
          <w:sz w:val="32"/>
          <w:szCs w:val="32"/>
        </w:rPr>
        <w:t>按照“雨污分流、清污分流”原则</w:t>
      </w:r>
      <w:r>
        <w:rPr>
          <w:rFonts w:hint="eastAsia" w:ascii="方正仿宋_GBK" w:hAnsi="方正仿宋_GBK" w:eastAsia="方正仿宋_GBK" w:cs="方正仿宋_GBK"/>
          <w:color w:val="auto"/>
          <w:sz w:val="32"/>
          <w:szCs w:val="32"/>
          <w:lang w:val="en-US" w:eastAsia="zh-CN"/>
        </w:rPr>
        <w:t>完善</w:t>
      </w:r>
      <w:r>
        <w:rPr>
          <w:rFonts w:hint="eastAsia" w:ascii="方正仿宋_GBK" w:hAnsi="方正仿宋_GBK" w:eastAsia="方正仿宋_GBK" w:cs="方正仿宋_GBK"/>
          <w:color w:val="auto"/>
          <w:sz w:val="32"/>
          <w:szCs w:val="32"/>
        </w:rPr>
        <w:t>厂区排水管网建设。</w:t>
      </w:r>
      <w:r>
        <w:rPr>
          <w:rFonts w:hint="eastAsia" w:ascii="方正仿宋_GBK" w:hAnsi="方正仿宋_GBK" w:eastAsia="方正仿宋_GBK" w:cs="方正仿宋_GBK"/>
          <w:color w:val="auto"/>
          <w:sz w:val="32"/>
          <w:szCs w:val="32"/>
          <w:lang w:val="en-US" w:eastAsia="zh-CN"/>
        </w:rPr>
        <w:t>本</w:t>
      </w:r>
      <w:r>
        <w:rPr>
          <w:rFonts w:hint="eastAsia" w:ascii="方正仿宋_GBK" w:hAnsi="方正仿宋_GBK" w:eastAsia="方正仿宋_GBK" w:cs="方正仿宋_GBK"/>
          <w:color w:val="auto"/>
          <w:sz w:val="32"/>
          <w:szCs w:val="32"/>
        </w:rPr>
        <w:t>项目</w:t>
      </w:r>
      <w:r>
        <w:rPr>
          <w:rFonts w:hint="eastAsia" w:ascii="方正仿宋_GBK" w:hAnsi="方正仿宋_GBK" w:eastAsia="方正仿宋_GBK" w:cs="方正仿宋_GBK"/>
          <w:color w:val="auto"/>
          <w:sz w:val="32"/>
          <w:szCs w:val="32"/>
          <w:lang w:val="en-US" w:eastAsia="zh-CN"/>
        </w:rPr>
        <w:t>实施过程中，</w:t>
      </w:r>
      <w:r>
        <w:rPr>
          <w:rFonts w:hint="eastAsia" w:ascii="黑体" w:hAnsi="黑体" w:eastAsia="黑体" w:cs="黑体"/>
          <w:b w:val="0"/>
          <w:bCs w:val="0"/>
          <w:color w:val="auto"/>
          <w:sz w:val="32"/>
          <w:szCs w:val="32"/>
          <w:lang w:val="en-US" w:eastAsia="zh-CN"/>
        </w:rPr>
        <w:t>无传染性废水、无含重金属等废水产生；不使用含氮、磷洗涤剂，无含氮、磷洗衣废水产生；</w:t>
      </w:r>
      <w:r>
        <w:rPr>
          <w:rFonts w:hint="eastAsia" w:ascii="方正仿宋_GBK" w:hAnsi="方正仿宋_GBK" w:eastAsia="方正仿宋_GBK" w:cs="方正仿宋_GBK"/>
          <w:color w:val="auto"/>
          <w:sz w:val="32"/>
          <w:szCs w:val="32"/>
          <w:lang w:val="en-US" w:eastAsia="zh-CN"/>
        </w:rPr>
        <w:t>医疗废水、职工生活污水、经隔油池预处理的食堂废水经污水处理站处理后接管宜兴市城市污水处理厂集中处理，接管执行《医疗机构</w:t>
      </w:r>
      <w:r>
        <w:rPr>
          <w:rFonts w:hint="eastAsia" w:ascii="Times New Roman" w:hAnsi="Times New Roman" w:eastAsia="方正仿宋_GBK" w:cs="Times New Roman"/>
          <w:color w:val="auto"/>
          <w:sz w:val="32"/>
          <w:szCs w:val="32"/>
          <w:lang w:val="en-US" w:eastAsia="zh-CN"/>
        </w:rPr>
        <w:t>水污染物排放标准》（GB 18466-2005）表2预处理标准及城市污水处理厂接管标准，尾水达标排放。</w:t>
      </w:r>
    </w:p>
    <w:p>
      <w:pPr>
        <w:pStyle w:val="14"/>
        <w:pageBreakBefore w:val="0"/>
        <w:numPr>
          <w:ilvl w:val="-1"/>
          <w:numId w:val="0"/>
        </w:numPr>
        <w:kinsoku/>
        <w:overflowPunct/>
        <w:topLinePunct w:val="0"/>
        <w:autoSpaceDN/>
        <w:bidi w:val="0"/>
        <w:spacing w:line="560" w:lineRule="exact"/>
        <w:ind w:left="0" w:leftChars="0" w:firstLine="643" w:firstLineChars="200"/>
        <w:textAlignment w:val="auto"/>
        <w:rPr>
          <w:rFonts w:hint="eastAsia"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2、</w:t>
      </w:r>
      <w:r>
        <w:rPr>
          <w:rFonts w:hint="default" w:ascii="Times New Roman" w:hAnsi="Times New Roman" w:eastAsia="方正仿宋_GBK" w:cs="Times New Roman"/>
          <w:color w:val="auto"/>
          <w:sz w:val="32"/>
          <w:szCs w:val="32"/>
          <w:lang w:val="en-US" w:eastAsia="zh-CN"/>
        </w:rPr>
        <w:t>加强对废气治理设施的管理，确保废气捕集效率、处理效率</w:t>
      </w:r>
      <w:r>
        <w:rPr>
          <w:rFonts w:hint="eastAsia" w:ascii="Times New Roman" w:hAnsi="Times New Roman" w:eastAsia="方正仿宋_GBK" w:cs="Times New Roman"/>
          <w:color w:val="auto"/>
          <w:sz w:val="32"/>
          <w:szCs w:val="32"/>
          <w:lang w:val="en-US" w:eastAsia="zh-CN"/>
        </w:rPr>
        <w:t>及排气筒高度</w:t>
      </w:r>
      <w:r>
        <w:rPr>
          <w:rFonts w:hint="default" w:ascii="Times New Roman" w:hAnsi="Times New Roman" w:eastAsia="方正仿宋_GBK" w:cs="Times New Roman"/>
          <w:color w:val="auto"/>
          <w:sz w:val="32"/>
          <w:szCs w:val="32"/>
          <w:lang w:val="en-US" w:eastAsia="zh-CN"/>
        </w:rPr>
        <w:t>均不得低于《报告表》中要求，并加强对无组织排放源的监控管理，最大限度控制和减少废气排放。本项目氨、硫化氢、臭气浓度执行《恶臭污染物排放标准》（GB 14554-93）表2</w:t>
      </w:r>
      <w:r>
        <w:rPr>
          <w:rFonts w:hint="eastAsia" w:eastAsia="方正仿宋_GBK" w:cs="Times New Roman"/>
          <w:color w:val="auto"/>
          <w:sz w:val="32"/>
          <w:szCs w:val="32"/>
          <w:lang w:val="en-US" w:eastAsia="zh-CN"/>
        </w:rPr>
        <w:t>及《医疗机构水污染物排放标准</w:t>
      </w:r>
      <w:r>
        <w:rPr>
          <w:rFonts w:hint="default" w:ascii="Times New Roman" w:hAnsi="Times New Roman" w:eastAsia="方正仿宋_GBK" w:cs="Times New Roman"/>
          <w:color w:val="auto"/>
          <w:sz w:val="32"/>
          <w:szCs w:val="32"/>
          <w:lang w:val="en-US" w:eastAsia="zh-CN"/>
        </w:rPr>
        <w:t>》（GB 18466-2005）</w:t>
      </w:r>
      <w:r>
        <w:rPr>
          <w:rFonts w:hint="eastAsia" w:ascii="Times New Roman" w:hAnsi="Times New Roman" w:eastAsia="方正仿宋_GBK" w:cs="Times New Roman"/>
          <w:color w:val="auto"/>
          <w:sz w:val="32"/>
          <w:szCs w:val="32"/>
          <w:lang w:val="en-US" w:eastAsia="zh-CN"/>
        </w:rPr>
        <w:t>表3标准。</w:t>
      </w:r>
    </w:p>
    <w:p>
      <w:pPr>
        <w:pStyle w:val="13"/>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b/>
          <w:bCs/>
          <w:color w:val="auto"/>
          <w:sz w:val="32"/>
          <w:szCs w:val="32"/>
          <w:lang w:val="en-US" w:eastAsia="zh-CN"/>
        </w:rPr>
        <w:t>3、</w:t>
      </w:r>
      <w:r>
        <w:rPr>
          <w:rFonts w:hint="default" w:ascii="Times New Roman" w:hAnsi="Times New Roman" w:eastAsia="方正仿宋_GBK" w:cs="Times New Roman"/>
          <w:color w:val="auto"/>
          <w:sz w:val="32"/>
          <w:szCs w:val="32"/>
        </w:rPr>
        <w:t>优先选用低噪声设备，对生产设备应合理布局，并采取有效</w:t>
      </w:r>
      <w:r>
        <w:rPr>
          <w:rFonts w:hint="default" w:ascii="Times New Roman" w:hAnsi="Times New Roman" w:eastAsia="方正仿宋_GBK" w:cs="Times New Roman"/>
          <w:snapToGrid w:val="0"/>
          <w:color w:val="auto"/>
          <w:sz w:val="32"/>
          <w:szCs w:val="32"/>
          <w:highlight w:val="none"/>
        </w:rPr>
        <w:t>隔声、</w:t>
      </w:r>
      <w:r>
        <w:rPr>
          <w:rFonts w:hint="default" w:ascii="Times New Roman" w:hAnsi="Times New Roman" w:eastAsia="方正仿宋_GBK" w:cs="Times New Roman"/>
          <w:snapToGrid w:val="0"/>
          <w:color w:val="auto"/>
          <w:sz w:val="32"/>
          <w:szCs w:val="32"/>
          <w:highlight w:val="none"/>
          <w:lang w:val="en-US" w:eastAsia="zh-CN"/>
        </w:rPr>
        <w:t>减振</w:t>
      </w:r>
      <w:r>
        <w:rPr>
          <w:rFonts w:hint="default" w:ascii="Times New Roman" w:hAnsi="Times New Roman" w:eastAsia="方正仿宋_GBK" w:cs="Times New Roman"/>
          <w:color w:val="auto"/>
          <w:sz w:val="32"/>
          <w:szCs w:val="32"/>
        </w:rPr>
        <w:t>等降噪措施，确保</w:t>
      </w:r>
      <w:r>
        <w:rPr>
          <w:rFonts w:hint="default" w:ascii="Times New Roman" w:hAnsi="Times New Roman" w:eastAsia="方正仿宋_GBK" w:cs="Times New Roman"/>
          <w:color w:val="auto"/>
          <w:sz w:val="32"/>
          <w:szCs w:val="32"/>
          <w:lang w:val="en-US" w:eastAsia="zh-CN"/>
        </w:rPr>
        <w:t>营运期东、南、北</w:t>
      </w:r>
      <w:r>
        <w:rPr>
          <w:rFonts w:hint="eastAsia" w:ascii="Times New Roman" w:hAnsi="Times New Roman" w:eastAsia="方正仿宋_GBK" w:cs="Times New Roman"/>
          <w:color w:val="auto"/>
          <w:sz w:val="32"/>
          <w:szCs w:val="32"/>
          <w:lang w:val="en-US" w:eastAsia="zh-CN"/>
        </w:rPr>
        <w:t>厂界</w:t>
      </w:r>
      <w:r>
        <w:rPr>
          <w:rFonts w:hint="default" w:ascii="Times New Roman" w:hAnsi="Times New Roman" w:eastAsia="方正仿宋_GBK" w:cs="Times New Roman"/>
          <w:color w:val="auto"/>
          <w:sz w:val="32"/>
          <w:szCs w:val="32"/>
          <w:lang w:val="en-US" w:eastAsia="zh-CN"/>
        </w:rPr>
        <w:t>噪声执行《工业企业厂界环境噪声排放标准</w:t>
      </w:r>
      <w:r>
        <w:rPr>
          <w:rFonts w:hint="default" w:ascii="Times New Roman" w:hAnsi="Times New Roman" w:eastAsia="方正仿宋_GBK" w:cs="Times New Roman"/>
          <w:color w:val="auto"/>
          <w:kern w:val="0"/>
          <w:sz w:val="32"/>
          <w:szCs w:val="32"/>
          <w:lang w:val="en-US" w:eastAsia="zh-CN" w:bidi="ar-SA"/>
        </w:rPr>
        <w:t>》</w:t>
      </w:r>
      <w:r>
        <w:rPr>
          <w:rFonts w:hint="eastAsia" w:ascii="Times New Roman" w:hAnsi="Times New Roman" w:eastAsia="方正仿宋_GBK" w:cs="Times New Roman"/>
          <w:color w:val="auto"/>
          <w:kern w:val="0"/>
          <w:sz w:val="32"/>
          <w:szCs w:val="32"/>
          <w:lang w:val="en-US" w:eastAsia="zh-CN" w:bidi="ar-SA"/>
        </w:rPr>
        <w:t>（</w:t>
      </w:r>
      <w:r>
        <w:rPr>
          <w:rFonts w:hint="default" w:ascii="Times New Roman" w:hAnsi="Times New Roman" w:eastAsia="方正仿宋_GBK" w:cs="Times New Roman"/>
          <w:color w:val="auto"/>
          <w:kern w:val="0"/>
          <w:sz w:val="32"/>
          <w:szCs w:val="32"/>
          <w:lang w:val="en-US" w:eastAsia="zh-CN" w:bidi="ar-SA"/>
        </w:rPr>
        <w:t>GB 12348-2008</w:t>
      </w:r>
      <w:r>
        <w:rPr>
          <w:rFonts w:hint="eastAsia" w:ascii="Times New Roman" w:hAnsi="Times New Roman" w:eastAsia="方正仿宋_GBK" w:cs="Times New Roman"/>
          <w:color w:val="auto"/>
          <w:kern w:val="0"/>
          <w:sz w:val="32"/>
          <w:szCs w:val="32"/>
          <w:lang w:val="en-US" w:eastAsia="zh-CN" w:bidi="ar-SA"/>
        </w:rPr>
        <w:t>）</w:t>
      </w:r>
      <w:r>
        <w:rPr>
          <w:rFonts w:hint="default" w:ascii="Times New Roman" w:hAnsi="Times New Roman" w:eastAsia="方正仿宋_GBK" w:cs="Times New Roman"/>
          <w:color w:val="auto"/>
          <w:kern w:val="0"/>
          <w:sz w:val="32"/>
          <w:szCs w:val="32"/>
          <w:lang w:val="en-US" w:eastAsia="zh-CN" w:bidi="ar-SA"/>
        </w:rPr>
        <w:t>2</w:t>
      </w:r>
      <w:r>
        <w:rPr>
          <w:rFonts w:hint="default" w:ascii="Times New Roman" w:hAnsi="Times New Roman" w:eastAsia="方正仿宋_GBK" w:cs="Times New Roman"/>
          <w:color w:val="auto"/>
          <w:sz w:val="32"/>
          <w:szCs w:val="32"/>
          <w:lang w:val="en-US" w:eastAsia="zh-CN"/>
        </w:rPr>
        <w:t>类标准，西厂界执行4类标准</w:t>
      </w:r>
      <w:r>
        <w:rPr>
          <w:rFonts w:hint="default" w:ascii="Times New Roman" w:hAnsi="Times New Roman" w:eastAsia="方正仿宋_GBK" w:cs="Times New Roman"/>
          <w:snapToGrid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b/>
          <w:bCs/>
          <w:color w:val="auto"/>
          <w:sz w:val="32"/>
          <w:szCs w:val="32"/>
        </w:rPr>
        <w:t>4、</w:t>
      </w:r>
      <w:r>
        <w:rPr>
          <w:rFonts w:hint="default" w:ascii="Times New Roman" w:hAnsi="Times New Roman" w:eastAsia="方正仿宋_GBK" w:cs="Times New Roman"/>
          <w:color w:val="auto"/>
          <w:sz w:val="32"/>
          <w:szCs w:val="32"/>
        </w:rPr>
        <w:t>按“资源化、减量化、无害化”处理处置原则，落实各类固废（特别是</w:t>
      </w:r>
      <w:r>
        <w:rPr>
          <w:rFonts w:hint="default" w:ascii="Times New Roman" w:hAnsi="Times New Roman" w:eastAsia="方正仿宋_GBK" w:cs="Times New Roman"/>
          <w:color w:val="auto"/>
          <w:sz w:val="32"/>
          <w:szCs w:val="32"/>
          <w:lang w:val="en-US" w:eastAsia="zh-CN"/>
        </w:rPr>
        <w:t>各类</w:t>
      </w:r>
      <w:r>
        <w:rPr>
          <w:rFonts w:hint="default" w:ascii="Times New Roman" w:hAnsi="Times New Roman" w:eastAsia="方正仿宋_GBK" w:cs="Times New Roman"/>
          <w:color w:val="auto"/>
          <w:sz w:val="32"/>
          <w:szCs w:val="32"/>
        </w:rPr>
        <w:t>危险固废）的分类收集、</w:t>
      </w:r>
      <w:r>
        <w:rPr>
          <w:rFonts w:hint="default" w:ascii="Times New Roman" w:hAnsi="Times New Roman" w:eastAsia="方正仿宋_GBK" w:cs="Times New Roman"/>
          <w:color w:val="auto"/>
          <w:sz w:val="32"/>
          <w:szCs w:val="32"/>
          <w:lang w:val="en-US" w:eastAsia="zh-CN"/>
        </w:rPr>
        <w:t>贮存、</w:t>
      </w:r>
      <w:r>
        <w:rPr>
          <w:rFonts w:hint="default" w:ascii="Times New Roman" w:hAnsi="Times New Roman" w:eastAsia="方正仿宋_GBK" w:cs="Times New Roman"/>
          <w:color w:val="auto"/>
          <w:sz w:val="32"/>
          <w:szCs w:val="32"/>
        </w:rPr>
        <w:t>处置和综合利用措施</w:t>
      </w:r>
      <w:r>
        <w:rPr>
          <w:rFonts w:hint="default" w:ascii="Times New Roman" w:hAnsi="Times New Roman" w:cs="Times New Roman"/>
          <w:color w:val="auto"/>
          <w:sz w:val="32"/>
          <w:szCs w:val="32"/>
          <w:lang w:eastAsia="zh-CN"/>
        </w:rPr>
        <w:t>。</w:t>
      </w:r>
      <w:r>
        <w:rPr>
          <w:rFonts w:hint="default" w:ascii="Times New Roman" w:hAnsi="Times New Roman" w:eastAsia="方正黑体_GBK" w:cs="Times New Roman"/>
          <w:sz w:val="32"/>
          <w:szCs w:val="32"/>
          <w:lang w:val="en-US" w:eastAsia="zh-CN"/>
        </w:rPr>
        <w:t>项目生产过程中产生的危险废物包括但</w:t>
      </w:r>
      <w:r>
        <w:rPr>
          <w:rFonts w:hint="default" w:ascii="Times New Roman" w:hAnsi="Times New Roman" w:eastAsia="方正黑体_GBK" w:cs="Times New Roman"/>
          <w:color w:val="auto"/>
          <w:sz w:val="32"/>
          <w:szCs w:val="32"/>
          <w:lang w:val="en-US" w:eastAsia="zh-CN"/>
        </w:rPr>
        <w:t>不限于医疗废物（HW01）、栅渣（HW01）、污水处理污泥（HW01）、废活性炭（HW49）、空气净化过滤材料（HW01）、在线监测废液（HW49）、废紫外灯管（HW29）等</w:t>
      </w:r>
      <w:r>
        <w:rPr>
          <w:rFonts w:hint="default" w:ascii="Times New Roman" w:hAnsi="Times New Roman" w:eastAsia="方正仿宋_GBK" w:cs="Times New Roman"/>
          <w:b w:val="0"/>
          <w:bCs w:val="0"/>
          <w:color w:val="auto"/>
          <w:sz w:val="32"/>
          <w:szCs w:val="32"/>
        </w:rPr>
        <w:t>必须</w:t>
      </w:r>
      <w:r>
        <w:rPr>
          <w:rFonts w:hint="default" w:ascii="Times New Roman" w:hAnsi="Times New Roman" w:eastAsia="方正仿宋_GBK" w:cs="Times New Roman"/>
          <w:b w:val="0"/>
          <w:bCs w:val="0"/>
          <w:color w:val="auto"/>
          <w:sz w:val="32"/>
          <w:szCs w:val="32"/>
          <w:lang w:val="en-US" w:eastAsia="zh-CN"/>
        </w:rPr>
        <w:t>单独收集并</w:t>
      </w:r>
      <w:r>
        <w:rPr>
          <w:rFonts w:hint="default" w:ascii="Times New Roman" w:hAnsi="Times New Roman" w:eastAsia="方正仿宋_GBK" w:cs="Times New Roman"/>
          <w:b w:val="0"/>
          <w:bCs w:val="0"/>
          <w:color w:val="auto"/>
          <w:sz w:val="32"/>
          <w:szCs w:val="32"/>
        </w:rPr>
        <w:t>委托有资质单位处理</w:t>
      </w:r>
      <w:r>
        <w:rPr>
          <w:rFonts w:hint="default" w:ascii="Times New Roman" w:hAnsi="Times New Roman" w:cs="Times New Roman"/>
          <w:b w:val="0"/>
          <w:bCs w:val="0"/>
          <w:color w:val="auto"/>
          <w:sz w:val="32"/>
          <w:szCs w:val="32"/>
          <w:lang w:eastAsia="zh-CN"/>
        </w:rPr>
        <w:t>，</w:t>
      </w:r>
      <w:r>
        <w:rPr>
          <w:rFonts w:hint="default" w:ascii="Times New Roman" w:hAnsi="Times New Roman" w:eastAsia="方正仿宋_GBK" w:cs="Times New Roman"/>
          <w:color w:val="auto"/>
          <w:sz w:val="32"/>
          <w:szCs w:val="32"/>
        </w:rPr>
        <w:t>实现固体废物零排放。</w:t>
      </w:r>
      <w:r>
        <w:rPr>
          <w:rFonts w:hint="default" w:ascii="Times New Roman" w:hAnsi="Times New Roman" w:eastAsia="方正仿宋_GBK" w:cs="Times New Roman"/>
          <w:color w:val="auto"/>
          <w:sz w:val="32"/>
          <w:szCs w:val="32"/>
          <w:lang w:eastAsia="zh-CN"/>
        </w:rPr>
        <w:t>危险废物贮存设施须满足《危险废物贮存污染控制标准》（GB 18597-2023）、《江苏省固体废物全过程环境监管工作意见》（苏环办〔2024〕16号）等要求，防止产生二次污染。</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color w:val="0000FF"/>
          <w:sz w:val="32"/>
          <w:szCs w:val="32"/>
          <w:lang w:val="en-US" w:eastAsia="zh-CN"/>
        </w:rPr>
      </w:pPr>
      <w:r>
        <w:rPr>
          <w:rFonts w:hint="default" w:ascii="Times New Roman" w:hAnsi="Times New Roman" w:eastAsia="方正仿宋_GBK" w:cs="Times New Roman"/>
          <w:b/>
          <w:bCs/>
          <w:color w:val="auto"/>
          <w:sz w:val="32"/>
          <w:szCs w:val="32"/>
          <w:lang w:val="en-US" w:eastAsia="zh-CN"/>
        </w:rPr>
        <w:t>5、</w:t>
      </w:r>
      <w:r>
        <w:rPr>
          <w:rFonts w:hint="default" w:ascii="Times New Roman" w:hAnsi="Times New Roman" w:eastAsia="方正仿宋_GBK" w:cs="Times New Roman"/>
          <w:color w:val="auto"/>
          <w:sz w:val="32"/>
          <w:szCs w:val="32"/>
          <w:lang w:val="en-US" w:eastAsia="zh-CN"/>
        </w:rPr>
        <w:t>按照《报告表》要求，厂区采取分区防渗措施，逐项落实医废暂存区域、污水处理设施等的防渗措施，做好各防渗区的建设和日常维护，加强厂区内路面硬化，及时修复破损沉降地面，杜绝污染地下水和土壤。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lang w:val="en-US" w:eastAsia="zh-CN"/>
        </w:rPr>
      </w:pPr>
      <w:r>
        <w:rPr>
          <w:rFonts w:hint="default" w:ascii="Times New Roman" w:hAnsi="Times New Roman" w:eastAsia="方正仿宋_GBK" w:cs="Times New Roman"/>
          <w:b/>
          <w:bCs/>
          <w:color w:val="auto"/>
          <w:sz w:val="32"/>
          <w:szCs w:val="32"/>
          <w:lang w:val="en-US" w:eastAsia="zh-CN"/>
        </w:rPr>
        <w:t>6、</w:t>
      </w:r>
      <w:r>
        <w:rPr>
          <w:rFonts w:hint="default" w:ascii="Times New Roman" w:hAnsi="Times New Roman" w:eastAsia="方正仿宋_GBK" w:cs="Times New Roman"/>
          <w:color w:val="auto"/>
          <w:sz w:val="32"/>
          <w:szCs w:val="32"/>
          <w:lang w:val="en-US" w:eastAsia="zh-CN"/>
        </w:rPr>
        <w:t xml:space="preserve">严格落实《报告表》中设置的防护距离要求，在上述防护距离内不得设置环境敏感目标。 </w:t>
      </w:r>
    </w:p>
    <w:p>
      <w:pPr>
        <w:spacing w:line="560" w:lineRule="exact"/>
        <w:ind w:firstLine="640" w:firstLineChars="200"/>
        <w:rPr>
          <w:rFonts w:hint="default" w:ascii="Times New Roman" w:hAnsi="Times New Roman" w:eastAsia="方正仿宋_GBK" w:cs="Times New Roman"/>
          <w:sz w:val="32"/>
          <w:szCs w:val="32"/>
          <w:lang w:val="en-US" w:eastAsia="zh-CN"/>
        </w:rPr>
      </w:pPr>
      <w:r>
        <w:rPr>
          <w:rFonts w:hint="eastAsia" w:eastAsia="方正黑体_GBK" w:cs="Times New Roman"/>
          <w:color w:val="auto"/>
          <w:sz w:val="32"/>
          <w:szCs w:val="32"/>
          <w:lang w:val="en-US" w:eastAsia="zh-CN"/>
        </w:rPr>
        <w:t>三</w:t>
      </w:r>
      <w:r>
        <w:rPr>
          <w:rFonts w:hint="default" w:ascii="Times New Roman" w:hAnsi="Times New Roman" w:eastAsia="方正黑体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加强环境管理，加快落实《报告表》中提出的风险防范及应急措施要求，</w:t>
      </w:r>
      <w:r>
        <w:rPr>
          <w:rFonts w:hint="default" w:ascii="Times New Roman" w:hAnsi="Times New Roman" w:eastAsia="方正仿宋_GBK" w:cs="Times New Roman"/>
          <w:sz w:val="32"/>
          <w:szCs w:val="32"/>
        </w:rPr>
        <w:t>储备事故应急器材和物资，</w:t>
      </w:r>
      <w:r>
        <w:rPr>
          <w:rFonts w:hint="default" w:ascii="Times New Roman" w:hAnsi="Times New Roman" w:eastAsia="方正仿宋_GBK" w:cs="Times New Roman"/>
          <w:sz w:val="32"/>
          <w:szCs w:val="32"/>
          <w:lang w:val="en-US" w:eastAsia="zh-CN"/>
        </w:rPr>
        <w:t>编制突发环境事件应急预案，</w:t>
      </w:r>
      <w:r>
        <w:rPr>
          <w:rFonts w:hint="default" w:ascii="Times New Roman" w:hAnsi="Times New Roman" w:eastAsia="方正仿宋_GBK" w:cs="Times New Roman"/>
          <w:sz w:val="32"/>
          <w:szCs w:val="32"/>
        </w:rPr>
        <w:t>定期组织演练，确保环境安全。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eastAsia="方正黑体_GBK" w:cs="Times New Roman"/>
          <w:color w:val="auto"/>
          <w:sz w:val="32"/>
          <w:szCs w:val="32"/>
          <w:lang w:val="en-US" w:eastAsia="zh-CN"/>
        </w:rPr>
        <w:t>四</w:t>
      </w:r>
      <w:r>
        <w:rPr>
          <w:rFonts w:hint="default" w:ascii="Times New Roman" w:hAnsi="Times New Roman" w:eastAsia="方正黑体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严格执行《江苏省排污口设置及规范化整治管理办法》（苏环控〔1997〕122号）要求，规范化设置各类排污口和标识。严格按《报告表》要求制定和实施环境监测计划，建立污染源监测数据台账。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eastAsia" w:eastAsia="方正黑体_GBK" w:cs="Times New Roman"/>
          <w:color w:val="auto"/>
          <w:sz w:val="32"/>
          <w:szCs w:val="32"/>
          <w:lang w:val="en-US" w:eastAsia="zh-CN"/>
        </w:rPr>
        <w:t>五</w:t>
      </w:r>
      <w:r>
        <w:rPr>
          <w:rFonts w:hint="default" w:ascii="Times New Roman" w:hAnsi="Times New Roman" w:eastAsia="方正黑体_GBK" w:cs="Times New Roman"/>
          <w:color w:val="auto"/>
          <w:sz w:val="32"/>
          <w:szCs w:val="32"/>
        </w:rPr>
        <w:t>、</w:t>
      </w:r>
      <w:r>
        <w:rPr>
          <w:rFonts w:hint="default" w:ascii="Times New Roman" w:hAnsi="Times New Roman" w:eastAsia="方正仿宋_GBK" w:cs="Times New Roman"/>
          <w:color w:val="auto"/>
          <w:sz w:val="32"/>
          <w:szCs w:val="32"/>
        </w:rPr>
        <w:t>《报告表》经批准后，如项目的性质、规模、地点、采用的工艺、拟采用的防治污染及防止生态破坏的措施</w:t>
      </w:r>
      <w:r>
        <w:rPr>
          <w:rFonts w:hint="default" w:ascii="Times New Roman" w:hAnsi="Times New Roman" w:eastAsia="方正黑体_GBK" w:cs="Times New Roman"/>
          <w:b w:val="0"/>
          <w:bCs w:val="0"/>
          <w:color w:val="auto"/>
          <w:sz w:val="32"/>
          <w:szCs w:val="32"/>
        </w:rPr>
        <w:t>发生重大变动</w:t>
      </w:r>
      <w:r>
        <w:rPr>
          <w:rFonts w:hint="eastAsia" w:eastAsia="方正黑体_GBK" w:cs="Times New Roman"/>
          <w:b w:val="0"/>
          <w:bCs w:val="0"/>
          <w:color w:val="auto"/>
          <w:sz w:val="32"/>
          <w:szCs w:val="32"/>
          <w:lang w:val="en-US" w:eastAsia="zh-CN"/>
        </w:rPr>
        <w:t>的，</w:t>
      </w:r>
      <w:r>
        <w:rPr>
          <w:rFonts w:hint="default" w:ascii="Times New Roman" w:hAnsi="Times New Roman" w:eastAsia="方正黑体_GBK" w:cs="Times New Roman"/>
          <w:b w:val="0"/>
          <w:bCs w:val="0"/>
          <w:color w:val="auto"/>
          <w:sz w:val="32"/>
          <w:szCs w:val="32"/>
        </w:rPr>
        <w:t>须重新报批项目的环境影响评价文件</w:t>
      </w:r>
      <w:r>
        <w:rPr>
          <w:rFonts w:hint="eastAsia" w:eastAsia="方正黑体_GBK" w:cs="Times New Roman"/>
          <w:b w:val="0"/>
          <w:bCs w:val="0"/>
          <w:color w:val="auto"/>
          <w:sz w:val="32"/>
          <w:szCs w:val="32"/>
          <w:lang w:eastAsia="zh-CN"/>
        </w:rPr>
        <w:t>；</w:t>
      </w:r>
      <w:r>
        <w:rPr>
          <w:rFonts w:hint="default" w:ascii="Times New Roman" w:hAnsi="Times New Roman" w:eastAsia="方正黑体_GBK" w:cs="Times New Roman"/>
          <w:b w:val="0"/>
          <w:bCs w:val="0"/>
          <w:color w:val="auto"/>
          <w:sz w:val="32"/>
          <w:szCs w:val="32"/>
        </w:rPr>
        <w:t>自批准之日起满5年方开工建设的，须</w:t>
      </w:r>
      <w:r>
        <w:rPr>
          <w:rFonts w:hint="eastAsia" w:eastAsia="方正黑体_GBK" w:cs="Times New Roman"/>
          <w:b w:val="0"/>
          <w:bCs w:val="0"/>
          <w:color w:val="auto"/>
          <w:sz w:val="32"/>
          <w:szCs w:val="32"/>
          <w:lang w:val="en-US" w:eastAsia="zh-CN"/>
        </w:rPr>
        <w:t>报园区重新审核</w:t>
      </w:r>
      <w:r>
        <w:rPr>
          <w:rFonts w:hint="default" w:ascii="Times New Roman" w:hAnsi="Times New Roman" w:eastAsia="方正黑体_GBK" w:cs="Times New Roman"/>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eastAsia" w:eastAsia="方正黑体_GBK" w:cs="Times New Roman"/>
          <w:color w:val="auto"/>
          <w:sz w:val="32"/>
          <w:szCs w:val="32"/>
          <w:lang w:val="en-US" w:eastAsia="zh-CN"/>
        </w:rPr>
        <w:t>六</w:t>
      </w:r>
      <w:r>
        <w:rPr>
          <w:rFonts w:hint="default" w:ascii="Times New Roman" w:hAnsi="Times New Roman" w:eastAsia="方正黑体_GBK" w:cs="Times New Roman"/>
          <w:color w:val="auto"/>
          <w:sz w:val="32"/>
          <w:szCs w:val="32"/>
        </w:rPr>
        <w:t>、</w:t>
      </w:r>
      <w:r>
        <w:rPr>
          <w:rFonts w:hint="default" w:ascii="Times New Roman" w:hAnsi="Times New Roman" w:eastAsia="方正仿宋_GBK" w:cs="Times New Roman"/>
          <w:color w:val="auto"/>
          <w:sz w:val="32"/>
          <w:szCs w:val="32"/>
        </w:rPr>
        <w:t>项目建设和营运期间的环境监督管理由宜兴生态环境综合行政执法局</w:t>
      </w:r>
      <w:r>
        <w:rPr>
          <w:rFonts w:hint="default" w:ascii="Times New Roman" w:hAnsi="Times New Roman" w:eastAsia="方正仿宋_GBK" w:cs="Times New Roman"/>
          <w:color w:val="auto"/>
          <w:sz w:val="32"/>
          <w:szCs w:val="32"/>
          <w:lang w:val="en-US" w:eastAsia="zh-CN"/>
        </w:rPr>
        <w:t>和属地政府环保办</w:t>
      </w:r>
      <w:r>
        <w:rPr>
          <w:rFonts w:hint="default" w:ascii="Times New Roman" w:hAnsi="Times New Roman" w:eastAsia="方正仿宋_GBK" w:cs="Times New Roman"/>
          <w:color w:val="auto"/>
          <w:sz w:val="32"/>
          <w:szCs w:val="32"/>
        </w:rPr>
        <w:t>负责，确保项目按照环保要求实施。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auto"/>
          <w:sz w:val="32"/>
          <w:szCs w:val="32"/>
        </w:rPr>
      </w:pPr>
      <w:r>
        <w:rPr>
          <w:rFonts w:hint="eastAsia" w:eastAsia="方正黑体_GBK" w:cs="Times New Roman"/>
          <w:b w:val="0"/>
          <w:bCs w:val="0"/>
          <w:color w:val="auto"/>
          <w:sz w:val="32"/>
          <w:szCs w:val="32"/>
          <w:lang w:val="en-US" w:eastAsia="zh-CN"/>
        </w:rPr>
        <w:t>七</w:t>
      </w:r>
      <w:r>
        <w:rPr>
          <w:rFonts w:hint="default" w:ascii="Times New Roman" w:hAnsi="Times New Roman" w:eastAsia="方正黑体_GBK" w:cs="Times New Roman"/>
          <w:b w:val="0"/>
          <w:bCs w:val="0"/>
          <w:color w:val="auto"/>
          <w:sz w:val="32"/>
          <w:szCs w:val="32"/>
        </w:rPr>
        <w:t>、建设单位应当在启动生产设施或者在实际排污之前办理排污许可手续；认真落实各项污染防治措施，严格执行环保"三同时"制度。项目竣工后须按规定程序实施竣工环境保护验收，经验收合格后方可正式投运。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val="0"/>
          <w:bCs/>
          <w:sz w:val="32"/>
          <w:szCs w:val="32"/>
        </w:rPr>
      </w:pPr>
    </w:p>
    <w:p>
      <w:pPr>
        <w:spacing w:line="560" w:lineRule="exact"/>
        <w:ind w:firstLine="960" w:firstLineChars="300"/>
        <w:rPr>
          <w:rFonts w:hint="default" w:ascii="Times New Roman" w:hAnsi="Times New Roman" w:eastAsia="仿宋" w:cs="Times New Roman"/>
          <w:b w:val="0"/>
          <w:bCs/>
          <w:sz w:val="32"/>
          <w:szCs w:val="32"/>
        </w:rPr>
      </w:pPr>
      <w:r>
        <w:rPr>
          <w:rFonts w:hint="default" w:ascii="Times New Roman" w:hAnsi="Times New Roman" w:eastAsia="仿宋" w:cs="Times New Roman"/>
          <w:b w:val="0"/>
          <w:bCs/>
          <w:sz w:val="32"/>
          <w:szCs w:val="32"/>
        </w:rPr>
        <w:t>（</w:t>
      </w:r>
      <w:r>
        <w:rPr>
          <w:rFonts w:hint="default" w:ascii="Times New Roman" w:hAnsi="Times New Roman" w:eastAsia="方正仿宋_GBK" w:cs="Times New Roman"/>
          <w:b w:val="0"/>
          <w:bCs/>
          <w:sz w:val="32"/>
          <w:szCs w:val="32"/>
        </w:rPr>
        <w:t>项目代码</w:t>
      </w:r>
      <w:r>
        <w:rPr>
          <w:rFonts w:hint="default" w:ascii="Times New Roman" w:hAnsi="Times New Roman" w:eastAsia="仿宋" w:cs="Times New Roman"/>
          <w:b w:val="0"/>
          <w:bCs/>
          <w:sz w:val="32"/>
          <w:szCs w:val="32"/>
        </w:rPr>
        <w:t>：2</w:t>
      </w:r>
      <w:r>
        <w:rPr>
          <w:rFonts w:hint="eastAsia" w:ascii="Times New Roman" w:hAnsi="Times New Roman" w:eastAsia="仿宋" w:cs="Times New Roman"/>
          <w:b w:val="0"/>
          <w:bCs/>
          <w:sz w:val="32"/>
          <w:szCs w:val="32"/>
          <w:lang w:val="en-US" w:eastAsia="zh-CN"/>
        </w:rPr>
        <w:t>509</w:t>
      </w:r>
      <w:r>
        <w:rPr>
          <w:rFonts w:hint="default" w:ascii="Times New Roman" w:hAnsi="Times New Roman" w:eastAsia="仿宋" w:cs="Times New Roman"/>
          <w:b w:val="0"/>
          <w:bCs/>
          <w:sz w:val="32"/>
          <w:szCs w:val="32"/>
        </w:rPr>
        <w:t>-320256-</w:t>
      </w:r>
      <w:r>
        <w:rPr>
          <w:rFonts w:hint="eastAsia" w:ascii="Times New Roman" w:hAnsi="Times New Roman" w:eastAsia="仿宋" w:cs="Times New Roman"/>
          <w:b w:val="0"/>
          <w:bCs/>
          <w:sz w:val="32"/>
          <w:szCs w:val="32"/>
          <w:lang w:val="en-US" w:eastAsia="zh-CN"/>
        </w:rPr>
        <w:t>89</w:t>
      </w:r>
      <w:r>
        <w:rPr>
          <w:rFonts w:hint="default" w:ascii="Times New Roman" w:hAnsi="Times New Roman" w:eastAsia="仿宋" w:cs="Times New Roman"/>
          <w:b w:val="0"/>
          <w:bCs/>
          <w:sz w:val="32"/>
          <w:szCs w:val="32"/>
        </w:rPr>
        <w:t>-0</w:t>
      </w:r>
      <w:r>
        <w:rPr>
          <w:rFonts w:hint="eastAsia" w:ascii="Times New Roman" w:hAnsi="Times New Roman" w:eastAsia="仿宋" w:cs="Times New Roman"/>
          <w:b w:val="0"/>
          <w:bCs/>
          <w:sz w:val="32"/>
          <w:szCs w:val="32"/>
          <w:lang w:val="en-US" w:eastAsia="zh-CN"/>
        </w:rPr>
        <w:t>1</w:t>
      </w:r>
      <w:r>
        <w:rPr>
          <w:rFonts w:hint="default" w:ascii="Times New Roman" w:hAnsi="Times New Roman" w:eastAsia="仿宋" w:cs="Times New Roman"/>
          <w:b w:val="0"/>
          <w:bCs/>
          <w:sz w:val="32"/>
          <w:szCs w:val="32"/>
        </w:rPr>
        <w:t>-</w:t>
      </w:r>
      <w:r>
        <w:rPr>
          <w:rFonts w:hint="eastAsia" w:ascii="Times New Roman" w:hAnsi="Times New Roman" w:eastAsia="仿宋" w:cs="Times New Roman"/>
          <w:b w:val="0"/>
          <w:bCs/>
          <w:sz w:val="32"/>
          <w:szCs w:val="32"/>
          <w:lang w:val="en-US" w:eastAsia="zh-CN"/>
        </w:rPr>
        <w:t>983908</w:t>
      </w:r>
      <w:bookmarkStart w:id="0" w:name="_GoBack"/>
      <w:bookmarkEnd w:id="0"/>
      <w:r>
        <w:rPr>
          <w:rFonts w:hint="default" w:ascii="Times New Roman" w:hAnsi="Times New Roman" w:eastAsia="仿宋" w:cs="Times New Roman"/>
          <w:b w:val="0"/>
          <w:bCs/>
          <w:sz w:val="32"/>
          <w:szCs w:val="32"/>
        </w:rPr>
        <w:t>）</w:t>
      </w:r>
    </w:p>
    <w:p>
      <w:pPr>
        <w:spacing w:line="560" w:lineRule="exact"/>
        <w:rPr>
          <w:rFonts w:hint="default" w:ascii="Times New Roman" w:hAnsi="Times New Roman" w:eastAsia="仿宋" w:cs="Times New Roman"/>
          <w:b w:val="0"/>
          <w:bCs/>
          <w:sz w:val="32"/>
          <w:szCs w:val="32"/>
          <w:lang w:val="en-US" w:eastAsia="zh-CN"/>
        </w:rPr>
      </w:pPr>
    </w:p>
    <w:p>
      <w:pPr>
        <w:spacing w:line="560" w:lineRule="exact"/>
        <w:jc w:val="center"/>
        <w:rPr>
          <w:rFonts w:hint="eastAsia" w:ascii="Times New Roman" w:hAnsi="Times New Roman" w:eastAsia="方正仿宋_GBK" w:cs="Times New Roman"/>
          <w:b w:val="0"/>
          <w:bCs/>
          <w:sz w:val="32"/>
          <w:szCs w:val="32"/>
          <w:lang w:val="en-US" w:eastAsia="zh-CN"/>
        </w:rPr>
      </w:pPr>
      <w:r>
        <w:rPr>
          <w:rFonts w:hint="eastAsia" w:ascii="Times New Roman" w:hAnsi="Times New Roman" w:eastAsia="方正仿宋_GBK" w:cs="Times New Roman"/>
          <w:b w:val="0"/>
          <w:bCs/>
          <w:sz w:val="32"/>
          <w:szCs w:val="32"/>
          <w:lang w:val="en-US" w:eastAsia="zh-CN"/>
        </w:rPr>
        <w:t xml:space="preserve">                 无锡高新技术产业开发区</w:t>
      </w:r>
    </w:p>
    <w:p>
      <w:pPr>
        <w:spacing w:line="560" w:lineRule="exact"/>
        <w:jc w:val="center"/>
        <w:rPr>
          <w:rFonts w:hint="default" w:ascii="Times New Roman" w:hAnsi="Times New Roman" w:eastAsia="仿宋" w:cs="Times New Roman"/>
          <w:b w:val="0"/>
          <w:bCs/>
          <w:sz w:val="32"/>
          <w:szCs w:val="32"/>
        </w:rPr>
      </w:pPr>
      <w:r>
        <w:rPr>
          <w:rFonts w:hint="eastAsia" w:ascii="Times New Roman" w:hAnsi="Times New Roman" w:eastAsia="方正仿宋_GBK" w:cs="Times New Roman"/>
          <w:b w:val="0"/>
          <w:bCs/>
          <w:sz w:val="32"/>
          <w:szCs w:val="32"/>
          <w:lang w:val="en-US" w:eastAsia="zh-CN"/>
        </w:rPr>
        <w:t xml:space="preserve">                 环保科技工业园管理办公室</w:t>
      </w:r>
      <w:r>
        <w:rPr>
          <w:rFonts w:hint="default" w:ascii="Times New Roman" w:hAnsi="Times New Roman" w:eastAsia="仿宋" w:cs="Times New Roman"/>
          <w:b w:val="0"/>
          <w:bCs/>
          <w:sz w:val="32"/>
          <w:szCs w:val="32"/>
        </w:rPr>
        <w:t xml:space="preserve">           </w:t>
      </w:r>
    </w:p>
    <w:p>
      <w:pPr>
        <w:spacing w:line="560" w:lineRule="exact"/>
        <w:ind w:firstLine="4800" w:firstLineChars="1500"/>
        <w:jc w:val="both"/>
        <w:rPr>
          <w:rFonts w:hint="default" w:ascii="Times New Roman" w:hAnsi="Times New Roman" w:eastAsia="仿宋" w:cs="Times New Roman"/>
          <w:b w:val="0"/>
          <w:bCs/>
          <w:sz w:val="32"/>
          <w:szCs w:val="32"/>
          <w:lang w:val="en-US" w:eastAsia="zh-CN"/>
        </w:rPr>
      </w:pPr>
      <w:r>
        <w:rPr>
          <w:rFonts w:hint="eastAsia" w:ascii="Times New Roman" w:hAnsi="Times New Roman" w:eastAsia="仿宋" w:cs="Times New Roman"/>
          <w:b w:val="0"/>
          <w:bCs/>
          <w:sz w:val="32"/>
          <w:szCs w:val="32"/>
          <w:lang w:val="en-US" w:eastAsia="zh-CN"/>
        </w:rPr>
        <w:t>2025年11月13日</w:t>
      </w:r>
    </w:p>
    <w:p>
      <w:pPr>
        <w:pStyle w:val="4"/>
        <w:rPr>
          <w:rFonts w:hint="default" w:ascii="Times New Roman" w:hAnsi="Times New Roman" w:cs="Times New Roman"/>
          <w:b w:val="0"/>
          <w:bCs/>
        </w:rPr>
      </w:pPr>
    </w:p>
    <w:p>
      <w:pPr>
        <w:spacing w:line="560" w:lineRule="exact"/>
        <w:jc w:val="left"/>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信息公开方式：主动公开</w:t>
      </w:r>
    </w:p>
    <w:tbl>
      <w:tblPr>
        <w:tblStyle w:val="10"/>
        <w:tblW w:w="0" w:type="auto"/>
        <w:tblInd w:w="108"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875"/>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67" w:hRule="atLeast"/>
        </w:trPr>
        <w:tc>
          <w:tcPr>
            <w:tcW w:w="8875" w:type="dxa"/>
            <w:noWrap w:val="0"/>
            <w:vAlign w:val="top"/>
          </w:tcPr>
          <w:p>
            <w:pPr>
              <w:spacing w:line="560" w:lineRule="exact"/>
              <w:rPr>
                <w:rFonts w:hint="default" w:ascii="Times New Roman" w:hAnsi="Times New Roman" w:eastAsia="方正仿宋_GBK" w:cs="Times New Roman"/>
                <w:b w:val="0"/>
                <w:bCs/>
                <w:sz w:val="28"/>
                <w:szCs w:val="28"/>
              </w:rPr>
            </w:pPr>
            <w:r>
              <w:rPr>
                <w:rFonts w:hint="default" w:ascii="Times New Roman" w:hAnsi="Times New Roman" w:eastAsia="方正仿宋_GBK" w:cs="Times New Roman"/>
                <w:b w:val="0"/>
                <w:bCs/>
                <w:sz w:val="28"/>
                <w:szCs w:val="28"/>
              </w:rPr>
              <w:t>抄送：</w:t>
            </w:r>
            <w:r>
              <w:rPr>
                <w:rFonts w:hint="default" w:ascii="Times New Roman" w:hAnsi="Times New Roman" w:eastAsia="方正仿宋_GBK" w:cs="Times New Roman"/>
                <w:b w:val="0"/>
                <w:bCs/>
                <w:spacing w:val="-2"/>
                <w:sz w:val="28"/>
                <w:szCs w:val="28"/>
              </w:rPr>
              <w:t>无锡市宜兴生态环境局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trHeight w:val="617" w:hRule="atLeast"/>
        </w:trPr>
        <w:tc>
          <w:tcPr>
            <w:tcW w:w="8875" w:type="dxa"/>
            <w:noWrap w:val="0"/>
            <w:vAlign w:val="top"/>
          </w:tcPr>
          <w:p>
            <w:pPr>
              <w:spacing w:line="560" w:lineRule="exact"/>
              <w:rPr>
                <w:rFonts w:hint="default" w:ascii="Times New Roman" w:hAnsi="Times New Roman" w:eastAsia="方正仿宋_GBK" w:cs="Times New Roman"/>
                <w:b w:val="0"/>
                <w:bCs/>
                <w:sz w:val="28"/>
                <w:szCs w:val="28"/>
              </w:rPr>
            </w:pPr>
            <w:r>
              <w:rPr>
                <w:rFonts w:hint="eastAsia" w:ascii="Times New Roman" w:hAnsi="Times New Roman" w:eastAsia="方正仿宋_GBK" w:cs="Times New Roman"/>
                <w:b w:val="0"/>
                <w:bCs/>
                <w:sz w:val="28"/>
                <w:szCs w:val="28"/>
                <w:lang w:val="en-US" w:eastAsia="zh-CN"/>
              </w:rPr>
              <w:t>环科园党政办公室</w:t>
            </w:r>
            <w:r>
              <w:rPr>
                <w:rFonts w:hint="default" w:ascii="Times New Roman" w:hAnsi="Times New Roman" w:eastAsia="方正仿宋_GBK" w:cs="Times New Roman"/>
                <w:b w:val="0"/>
                <w:bCs/>
                <w:sz w:val="28"/>
                <w:szCs w:val="28"/>
              </w:rPr>
              <w:t>　　</w:t>
            </w:r>
            <w:r>
              <w:rPr>
                <w:rFonts w:hint="default" w:ascii="Times New Roman" w:hAnsi="Times New Roman" w:eastAsia="方正仿宋_GBK" w:cs="Times New Roman"/>
                <w:b w:val="0"/>
                <w:bCs/>
                <w:sz w:val="28"/>
                <w:szCs w:val="28"/>
                <w:lang w:val="en-US" w:eastAsia="zh-CN"/>
              </w:rPr>
              <w:t xml:space="preserve">  </w:t>
            </w:r>
            <w:r>
              <w:rPr>
                <w:rFonts w:hint="default" w:ascii="Times New Roman" w:hAnsi="Times New Roman" w:eastAsia="方正仿宋_GBK" w:cs="Times New Roman"/>
                <w:b w:val="0"/>
                <w:bCs/>
                <w:sz w:val="28"/>
                <w:szCs w:val="28"/>
              </w:rPr>
              <w:t xml:space="preserve">　 </w:t>
            </w:r>
            <w:r>
              <w:rPr>
                <w:rFonts w:hint="eastAsia" w:ascii="Times New Roman" w:hAnsi="Times New Roman" w:eastAsia="方正仿宋_GBK" w:cs="Times New Roman"/>
                <w:b w:val="0"/>
                <w:bCs/>
                <w:sz w:val="28"/>
                <w:szCs w:val="28"/>
                <w:lang w:val="en-US" w:eastAsia="zh-CN"/>
              </w:rPr>
              <w:t xml:space="preserve">                 </w:t>
            </w:r>
            <w:r>
              <w:rPr>
                <w:rFonts w:hint="default" w:ascii="Times New Roman" w:hAnsi="Times New Roman" w:eastAsia="方正仿宋_GBK" w:cs="Times New Roman"/>
                <w:b w:val="0"/>
                <w:bCs/>
                <w:color w:val="auto"/>
                <w:sz w:val="28"/>
                <w:szCs w:val="28"/>
              </w:rPr>
              <w:t>202</w:t>
            </w:r>
            <w:r>
              <w:rPr>
                <w:rFonts w:hint="eastAsia" w:ascii="Times New Roman" w:hAnsi="Times New Roman" w:eastAsia="方正仿宋_GBK" w:cs="Times New Roman"/>
                <w:b w:val="0"/>
                <w:bCs/>
                <w:color w:val="auto"/>
                <w:sz w:val="28"/>
                <w:szCs w:val="28"/>
                <w:lang w:val="en-US" w:eastAsia="zh-CN"/>
              </w:rPr>
              <w:t>5</w:t>
            </w:r>
            <w:r>
              <w:rPr>
                <w:rFonts w:hint="default" w:ascii="Times New Roman" w:hAnsi="Times New Roman" w:eastAsia="方正仿宋_GBK" w:cs="Times New Roman"/>
                <w:b w:val="0"/>
                <w:bCs/>
                <w:color w:val="auto"/>
                <w:sz w:val="28"/>
                <w:szCs w:val="28"/>
              </w:rPr>
              <w:t>年</w:t>
            </w:r>
            <w:r>
              <w:rPr>
                <w:rFonts w:hint="eastAsia" w:ascii="Times New Roman" w:hAnsi="Times New Roman" w:eastAsia="方正仿宋_GBK" w:cs="Times New Roman"/>
                <w:b w:val="0"/>
                <w:bCs/>
                <w:color w:val="auto"/>
                <w:sz w:val="28"/>
                <w:szCs w:val="28"/>
                <w:lang w:val="en-US" w:eastAsia="zh-CN"/>
              </w:rPr>
              <w:t>11</w:t>
            </w:r>
            <w:r>
              <w:rPr>
                <w:rFonts w:hint="default" w:ascii="Times New Roman" w:hAnsi="Times New Roman" w:eastAsia="方正仿宋_GBK" w:cs="Times New Roman"/>
                <w:b w:val="0"/>
                <w:bCs/>
                <w:color w:val="auto"/>
                <w:sz w:val="28"/>
                <w:szCs w:val="28"/>
              </w:rPr>
              <w:t>月</w:t>
            </w:r>
            <w:r>
              <w:rPr>
                <w:rFonts w:hint="eastAsia" w:ascii="Times New Roman" w:hAnsi="Times New Roman" w:eastAsia="方正仿宋_GBK" w:cs="Times New Roman"/>
                <w:b w:val="0"/>
                <w:bCs/>
                <w:color w:val="auto"/>
                <w:sz w:val="28"/>
                <w:szCs w:val="28"/>
                <w:lang w:val="en-US" w:eastAsia="zh-CN"/>
              </w:rPr>
              <w:t>13</w:t>
            </w:r>
            <w:r>
              <w:rPr>
                <w:rFonts w:hint="default" w:ascii="Times New Roman" w:hAnsi="Times New Roman" w:eastAsia="方正仿宋_GBK" w:cs="Times New Roman"/>
                <w:b w:val="0"/>
                <w:bCs/>
                <w:color w:val="auto"/>
                <w:sz w:val="28"/>
                <w:szCs w:val="28"/>
              </w:rPr>
              <w:t>日</w:t>
            </w:r>
            <w:r>
              <w:rPr>
                <w:rFonts w:hint="default" w:ascii="Times New Roman" w:hAnsi="Times New Roman" w:eastAsia="方正仿宋_GBK" w:cs="Times New Roman"/>
                <w:b w:val="0"/>
                <w:bCs/>
                <w:sz w:val="28"/>
                <w:szCs w:val="28"/>
              </w:rPr>
              <w:t>印发</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sz w:val="10"/>
          <w:szCs w:val="10"/>
        </w:rPr>
      </w:pPr>
    </w:p>
    <w:sectPr>
      <w:pgSz w:w="11906" w:h="16838"/>
      <w:pgMar w:top="1440" w:right="1134" w:bottom="1417" w:left="1531"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2C44D0-DB9D-495B-89F1-D8A7E881A4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8632B61A-0E9E-4680-8BF5-4D6A2943810F}"/>
  </w:font>
  <w:font w:name="方正仿宋_GBK">
    <w:panose1 w:val="03000509000000000000"/>
    <w:charset w:val="86"/>
    <w:family w:val="auto"/>
    <w:pitch w:val="default"/>
    <w:sig w:usb0="00000001" w:usb1="080E0000" w:usb2="00000000" w:usb3="00000000" w:csb0="00040000" w:csb1="00000000"/>
    <w:embedRegular r:id="rId3" w:fontKey="{B2BACF6F-41CC-4D05-AC90-EED49775336E}"/>
  </w:font>
  <w:font w:name="楷体">
    <w:panose1 w:val="02010609060101010101"/>
    <w:charset w:val="86"/>
    <w:family w:val="modern"/>
    <w:pitch w:val="default"/>
    <w:sig w:usb0="800002BF" w:usb1="38CF7CFA" w:usb2="00000016" w:usb3="00000000" w:csb0="00040001" w:csb1="00000000"/>
    <w:embedRegular r:id="rId4" w:fontKey="{66AE7370-2C33-41B7-8DEB-6B8890D418DA}"/>
  </w:font>
  <w:font w:name="微软雅黑">
    <w:panose1 w:val="020B0503020204020204"/>
    <w:charset w:val="86"/>
    <w:family w:val="auto"/>
    <w:pitch w:val="default"/>
    <w:sig w:usb0="80000287" w:usb1="2ACF3C50" w:usb2="00000016" w:usb3="00000000" w:csb0="0004001F" w:csb1="00000000"/>
    <w:embedRegular r:id="rId5" w:fontKey="{85593E79-47E0-474B-B73C-D3F70F27E2BD}"/>
  </w:font>
  <w:font w:name="方正黑体_GBK">
    <w:panose1 w:val="03000509000000000000"/>
    <w:charset w:val="86"/>
    <w:family w:val="auto"/>
    <w:pitch w:val="default"/>
    <w:sig w:usb0="00000001" w:usb1="080E0000" w:usb2="00000000" w:usb3="00000000" w:csb0="00040000" w:csb1="00000000"/>
    <w:embedRegular r:id="rId6" w:fontKey="{51A1D87A-7AC9-4DC6-A9DD-0F167678D05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1A082D"/>
    <w:multiLevelType w:val="singleLevel"/>
    <w:tmpl w:val="8E1A082D"/>
    <w:lvl w:ilvl="0" w:tentative="0">
      <w:start w:val="1"/>
      <w:numFmt w:val="bullet"/>
      <w:pStyle w:val="7"/>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NmRmYzBjZDVjMjFmYmE5YTIxOGUzMjcxODQyZTkifQ=="/>
  </w:docVars>
  <w:rsids>
    <w:rsidRoot w:val="14BB73D5"/>
    <w:rsid w:val="06800AC0"/>
    <w:rsid w:val="0AB92DF6"/>
    <w:rsid w:val="0D5044E7"/>
    <w:rsid w:val="0DDE3542"/>
    <w:rsid w:val="0DF608D2"/>
    <w:rsid w:val="0F5355B4"/>
    <w:rsid w:val="10A576BD"/>
    <w:rsid w:val="11BA377A"/>
    <w:rsid w:val="14BB73D5"/>
    <w:rsid w:val="1D9B3DE1"/>
    <w:rsid w:val="1DBB4A06"/>
    <w:rsid w:val="20D3583B"/>
    <w:rsid w:val="21433D86"/>
    <w:rsid w:val="23F2077C"/>
    <w:rsid w:val="25AB4DDA"/>
    <w:rsid w:val="261F7CB8"/>
    <w:rsid w:val="266D3BDD"/>
    <w:rsid w:val="26902A34"/>
    <w:rsid w:val="289A0FF5"/>
    <w:rsid w:val="2B16314F"/>
    <w:rsid w:val="2B547357"/>
    <w:rsid w:val="30AE2917"/>
    <w:rsid w:val="3257474F"/>
    <w:rsid w:val="350B430D"/>
    <w:rsid w:val="35A63D7A"/>
    <w:rsid w:val="380B6E1C"/>
    <w:rsid w:val="391D1CCA"/>
    <w:rsid w:val="3AD9108C"/>
    <w:rsid w:val="3BDF3389"/>
    <w:rsid w:val="3C83319C"/>
    <w:rsid w:val="3CD56393"/>
    <w:rsid w:val="3D7C6359"/>
    <w:rsid w:val="3D8C7CDA"/>
    <w:rsid w:val="3F74625B"/>
    <w:rsid w:val="3F9904AC"/>
    <w:rsid w:val="40F93985"/>
    <w:rsid w:val="44F401A4"/>
    <w:rsid w:val="47926FE7"/>
    <w:rsid w:val="48FF684D"/>
    <w:rsid w:val="49FD3A37"/>
    <w:rsid w:val="501E3E31"/>
    <w:rsid w:val="572D421E"/>
    <w:rsid w:val="57577156"/>
    <w:rsid w:val="5B306079"/>
    <w:rsid w:val="5B446B20"/>
    <w:rsid w:val="5C0D0AE7"/>
    <w:rsid w:val="5D107BA8"/>
    <w:rsid w:val="5E6A5D92"/>
    <w:rsid w:val="5ECC6A4F"/>
    <w:rsid w:val="5F701CCB"/>
    <w:rsid w:val="60701CE4"/>
    <w:rsid w:val="616D1CA2"/>
    <w:rsid w:val="61F06A82"/>
    <w:rsid w:val="640B798D"/>
    <w:rsid w:val="644D291F"/>
    <w:rsid w:val="65AE0823"/>
    <w:rsid w:val="664F328C"/>
    <w:rsid w:val="67A83605"/>
    <w:rsid w:val="696F514A"/>
    <w:rsid w:val="698B4383"/>
    <w:rsid w:val="6A062180"/>
    <w:rsid w:val="6A5537DB"/>
    <w:rsid w:val="6B7B15E4"/>
    <w:rsid w:val="6C4E3695"/>
    <w:rsid w:val="6D1C2DEB"/>
    <w:rsid w:val="6ED40F55"/>
    <w:rsid w:val="6FC90A7E"/>
    <w:rsid w:val="72256827"/>
    <w:rsid w:val="727075CF"/>
    <w:rsid w:val="73F275CC"/>
    <w:rsid w:val="74E10D4F"/>
    <w:rsid w:val="791F718E"/>
    <w:rsid w:val="795C74F3"/>
    <w:rsid w:val="7A123B83"/>
    <w:rsid w:val="7C2C4B09"/>
    <w:rsid w:val="7C4C4671"/>
    <w:rsid w:val="7CAA7097"/>
    <w:rsid w:val="7CAD2C5F"/>
    <w:rsid w:val="7D750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240" w:lineRule="auto"/>
      <w:ind w:firstLine="0" w:firstLineChars="0"/>
      <w:outlineLvl w:val="0"/>
    </w:pPr>
    <w:rPr>
      <w:rFonts w:ascii="Calibri" w:hAnsi="Calibri" w:eastAsia="方正小标宋_GBK" w:cs="Times New Roman"/>
      <w:kern w:val="44"/>
      <w:sz w:val="44"/>
      <w:szCs w:val="44"/>
    </w:rPr>
  </w:style>
  <w:style w:type="paragraph" w:styleId="3">
    <w:name w:val="heading 3"/>
    <w:basedOn w:val="1"/>
    <w:next w:val="1"/>
    <w:qFormat/>
    <w:uiPriority w:val="0"/>
    <w:pPr>
      <w:keepNext/>
      <w:keepLines/>
      <w:adjustRightInd w:val="0"/>
      <w:spacing w:line="348" w:lineRule="auto"/>
      <w:textAlignment w:val="baseline"/>
      <w:outlineLvl w:val="2"/>
    </w:pPr>
    <w:rPr>
      <w:kern w:val="0"/>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qFormat/>
    <w:uiPriority w:val="0"/>
    <w:pPr>
      <w:jc w:val="left"/>
    </w:pPr>
  </w:style>
  <w:style w:type="paragraph" w:styleId="6">
    <w:name w:val="Body Text"/>
    <w:basedOn w:val="1"/>
    <w:next w:val="7"/>
    <w:qFormat/>
    <w:uiPriority w:val="99"/>
    <w:pPr>
      <w:widowControl/>
      <w:snapToGrid w:val="0"/>
      <w:spacing w:before="60" w:after="160" w:line="259" w:lineRule="auto"/>
      <w:ind w:right="113"/>
    </w:pPr>
    <w:rPr>
      <w:kern w:val="0"/>
      <w:sz w:val="18"/>
      <w:szCs w:val="20"/>
    </w:rPr>
  </w:style>
  <w:style w:type="paragraph" w:styleId="7">
    <w:name w:val="List Bullet 5"/>
    <w:basedOn w:val="1"/>
    <w:qFormat/>
    <w:uiPriority w:val="0"/>
    <w:pPr>
      <w:numPr>
        <w:ilvl w:val="0"/>
        <w:numId w:val="1"/>
      </w:numPr>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2">
    <w:name w:val="annotation reference"/>
    <w:qFormat/>
    <w:uiPriority w:val="0"/>
    <w:rPr>
      <w:sz w:val="21"/>
      <w:szCs w:val="21"/>
    </w:rPr>
  </w:style>
  <w:style w:type="paragraph" w:customStyle="1" w:styleId="13">
    <w:name w:val="报告正文"/>
    <w:basedOn w:val="1"/>
    <w:qFormat/>
    <w:uiPriority w:val="0"/>
    <w:pPr>
      <w:spacing w:line="560" w:lineRule="exact"/>
      <w:ind w:firstLine="200" w:firstLineChars="200"/>
    </w:pPr>
    <w:rPr>
      <w:rFonts w:eastAsia="仿宋"/>
      <w:sz w:val="28"/>
    </w:rPr>
  </w:style>
  <w:style w:type="paragraph" w:customStyle="1" w:styleId="14">
    <w:name w:val="样式 正文 +"/>
    <w:basedOn w:val="1"/>
    <w:qFormat/>
    <w:uiPriority w:val="0"/>
    <w:pPr>
      <w:adjustRightInd w:val="0"/>
      <w:snapToGrid w:val="0"/>
      <w:spacing w:line="500" w:lineRule="exact"/>
      <w:ind w:firstLine="482"/>
    </w:pPr>
    <w:rPr>
      <w:rFonts w:eastAsia="仿宋"/>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2110</Words>
  <Characters>2324</Characters>
  <Lines>0</Lines>
  <Paragraphs>0</Paragraphs>
  <TotalTime>24</TotalTime>
  <ScaleCrop>false</ScaleCrop>
  <LinksUpToDate>false</LinksUpToDate>
  <CharactersWithSpaces>2400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2022-05-12T00:44:00Z</dcterms:created>
  <dc:creator>ZYW</dc:creator>
  <cp:lastModifiedBy>￼</cp:lastModifiedBy>
  <dcterms:modified xsi:type="dcterms:W3CDTF">2025-11-07T01:00:12Z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7A002A9DAD164F048C9A7C6D8CB6D139</vt:lpwstr>
  </property>
  <property fmtid="{D5CDD505-2E9C-101B-9397-08002B2CF9AE}" pid="4" name="KSOTemplateDocerSaveRecord">
    <vt:lpwstr>eyJoZGlkIjoiYmNiNTlmODVjMTg2MWQ4OWVkNDI3YmM0ODc1YmYxNmUiLCJ1c2VySWQiOiIxMjc0NzQ5NDQ4In0=</vt:lpwstr>
  </property>
</Properties>
</file>