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C6FF9">
      <w:pPr>
        <w:spacing w:line="360" w:lineRule="auto"/>
        <w:jc w:val="center"/>
        <w:outlineLvl w:val="0"/>
        <w:rPr>
          <w:rFonts w:hint="default" w:asciiTheme="minorEastAsia" w:hAnsiTheme="minorEastAsia"/>
          <w:b/>
          <w:color w:val="auto"/>
          <w:sz w:val="32"/>
          <w:szCs w:val="28"/>
          <w:highlight w:val="none"/>
          <w:lang w:val="en-US"/>
        </w:rPr>
      </w:pPr>
      <w:r>
        <w:rPr>
          <w:rFonts w:hint="eastAsia" w:asciiTheme="minorEastAsia" w:hAnsiTheme="minorEastAsia"/>
          <w:b/>
          <w:color w:val="auto"/>
          <w:sz w:val="32"/>
          <w:szCs w:val="28"/>
          <w:highlight w:val="none"/>
          <w:lang w:eastAsia="zh-CN"/>
        </w:rPr>
        <w:t>2024-2025年度宜兴市市级投资项目审核咨询服务框架协议</w:t>
      </w:r>
      <w:r>
        <w:rPr>
          <w:rFonts w:hint="eastAsia" w:asciiTheme="minorEastAsia" w:hAnsiTheme="minorEastAsia"/>
          <w:b/>
          <w:color w:val="auto"/>
          <w:sz w:val="32"/>
          <w:szCs w:val="28"/>
          <w:highlight w:val="none"/>
          <w:lang w:eastAsia="zh-CN"/>
        </w:rPr>
        <w:br w:type="textWrapping"/>
      </w:r>
      <w:r>
        <w:rPr>
          <w:rFonts w:hint="eastAsia" w:asciiTheme="minorEastAsia" w:hAnsiTheme="minorEastAsia"/>
          <w:b/>
          <w:color w:val="auto"/>
          <w:sz w:val="32"/>
          <w:szCs w:val="28"/>
          <w:highlight w:val="none"/>
          <w:lang w:val="en-US" w:eastAsia="zh-CN"/>
        </w:rPr>
        <w:t>采购需求调查</w:t>
      </w:r>
    </w:p>
    <w:p w14:paraId="1EFA80DB">
      <w:pPr>
        <w:spacing w:line="360" w:lineRule="auto"/>
        <w:jc w:val="center"/>
        <w:outlineLvl w:val="1"/>
        <w:rPr>
          <w:rFonts w:asciiTheme="minorEastAsia" w:hAnsiTheme="minorEastAsia"/>
          <w:b/>
          <w:color w:val="auto"/>
          <w:sz w:val="28"/>
          <w:szCs w:val="24"/>
          <w:highlight w:val="none"/>
        </w:rPr>
      </w:pPr>
      <w:bookmarkStart w:id="0" w:name="_Toc22828742"/>
      <w:r>
        <w:rPr>
          <w:rFonts w:hint="eastAsia" w:asciiTheme="minorEastAsia" w:hAnsiTheme="minorEastAsia"/>
          <w:b/>
          <w:color w:val="auto"/>
          <w:sz w:val="28"/>
          <w:szCs w:val="24"/>
          <w:highlight w:val="none"/>
        </w:rPr>
        <w:t>第一章：项目概况及资格要求</w:t>
      </w:r>
      <w:bookmarkEnd w:id="0"/>
    </w:p>
    <w:p w14:paraId="58720835">
      <w:pPr>
        <w:keepNext w:val="0"/>
        <w:keepLines w:val="0"/>
        <w:pageBreakBefore w:val="0"/>
        <w:widowControl w:val="0"/>
        <w:kinsoku/>
        <w:wordWrap/>
        <w:overflowPunct/>
        <w:topLinePunct w:val="0"/>
        <w:autoSpaceDE/>
        <w:autoSpaceDN/>
        <w:bidi w:val="0"/>
        <w:adjustRightInd/>
        <w:spacing w:line="360" w:lineRule="auto"/>
        <w:jc w:val="left"/>
        <w:textAlignment w:val="auto"/>
        <w:outlineLvl w:val="2"/>
        <w:rPr>
          <w:rFonts w:asciiTheme="minorEastAsia" w:hAnsiTheme="minorEastAsia"/>
          <w:b/>
          <w:color w:val="auto"/>
          <w:sz w:val="24"/>
          <w:szCs w:val="24"/>
          <w:highlight w:val="none"/>
        </w:rPr>
      </w:pPr>
      <w:bookmarkStart w:id="1" w:name="_Toc22828743"/>
      <w:r>
        <w:rPr>
          <w:rFonts w:hint="eastAsia" w:asciiTheme="minorEastAsia" w:hAnsiTheme="minorEastAsia"/>
          <w:b/>
          <w:color w:val="auto"/>
          <w:sz w:val="24"/>
          <w:szCs w:val="24"/>
          <w:highlight w:val="none"/>
        </w:rPr>
        <w:t>一、项目概况</w:t>
      </w:r>
      <w:bookmarkEnd w:id="1"/>
    </w:p>
    <w:p w14:paraId="5813D6FD">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rPr>
        <w:t>1、</w:t>
      </w:r>
      <w:r>
        <w:rPr>
          <w:rFonts w:hint="eastAsia" w:asciiTheme="minorEastAsia" w:hAnsiTheme="minorEastAsia"/>
          <w:color w:val="auto"/>
          <w:sz w:val="24"/>
          <w:szCs w:val="24"/>
          <w:highlight w:val="none"/>
          <w:lang w:eastAsia="zh-CN"/>
        </w:rPr>
        <w:t>征集人</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eastAsia="zh-CN"/>
        </w:rPr>
        <w:t>宜兴市财政局</w:t>
      </w:r>
    </w:p>
    <w:p w14:paraId="443F981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联系人：</w:t>
      </w:r>
      <w:r>
        <w:rPr>
          <w:rFonts w:hint="eastAsia" w:ascii="宋体"/>
          <w:bCs/>
          <w:color w:val="auto"/>
          <w:sz w:val="24"/>
          <w:szCs w:val="24"/>
          <w:highlight w:val="none"/>
          <w:lang w:val="en-US" w:eastAsia="zh-CN"/>
        </w:rPr>
        <w:t>陈先生</w:t>
      </w:r>
    </w:p>
    <w:p w14:paraId="70B025B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rPr>
        <w:t>联系方式：</w:t>
      </w:r>
      <w:r>
        <w:rPr>
          <w:rFonts w:hint="eastAsia" w:ascii="宋体" w:hAnsi="宋体" w:cs="宋体"/>
          <w:color w:val="auto"/>
          <w:sz w:val="24"/>
          <w:szCs w:val="24"/>
          <w:highlight w:val="none"/>
          <w:lang w:eastAsia="zh-CN"/>
        </w:rPr>
        <w:t xml:space="preserve">0510-87951112 </w:t>
      </w:r>
    </w:p>
    <w:p w14:paraId="723BCFE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联系地址：</w:t>
      </w:r>
      <w:r>
        <w:rPr>
          <w:rFonts w:hint="eastAsia" w:ascii="宋体" w:hAnsi="宋体"/>
          <w:bCs/>
          <w:color w:val="auto"/>
          <w:sz w:val="24"/>
          <w:szCs w:val="24"/>
          <w:highlight w:val="none"/>
        </w:rPr>
        <w:t>宜兴市荆溪中路35号五局大院内</w:t>
      </w:r>
      <w:r>
        <w:rPr>
          <w:rFonts w:hint="eastAsia" w:asciiTheme="minorEastAsia" w:hAnsiTheme="minorEastAsia"/>
          <w:color w:val="auto"/>
          <w:sz w:val="24"/>
          <w:szCs w:val="24"/>
          <w:highlight w:val="none"/>
        </w:rPr>
        <w:t xml:space="preserve"> </w:t>
      </w:r>
    </w:p>
    <w:p w14:paraId="783B3266">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rPr>
        <w:t>2、采购项目名称</w:t>
      </w:r>
      <w:r>
        <w:rPr>
          <w:rFonts w:hint="eastAsia" w:asciiTheme="minorEastAsia" w:hAnsiTheme="minorEastAsia"/>
          <w:color w:val="auto"/>
          <w:sz w:val="24"/>
          <w:szCs w:val="24"/>
          <w:highlight w:val="none"/>
          <w:lang w:eastAsia="zh-CN"/>
        </w:rPr>
        <w:t>：2024-2025年度宜兴市市级投资项目审核咨询服务框架协议</w:t>
      </w:r>
    </w:p>
    <w:p w14:paraId="204DA0BC">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拟采用采购方式：</w:t>
      </w:r>
      <w:r>
        <w:rPr>
          <w:rFonts w:hint="eastAsia" w:ascii="宋体" w:hAnsi="宋体"/>
          <w:bCs/>
          <w:color w:val="auto"/>
          <w:sz w:val="24"/>
          <w:szCs w:val="24"/>
          <w:highlight w:val="none"/>
          <w:lang w:val="en-US" w:eastAsia="zh-CN"/>
        </w:rPr>
        <w:t>封闭式框架协议采购</w:t>
      </w:r>
      <w:r>
        <w:rPr>
          <w:rFonts w:hint="eastAsia" w:ascii="宋体" w:hAnsi="宋体"/>
          <w:bCs/>
          <w:color w:val="auto"/>
          <w:sz w:val="24"/>
          <w:szCs w:val="24"/>
          <w:highlight w:val="none"/>
        </w:rPr>
        <w:t xml:space="preserve">  </w:t>
      </w:r>
    </w:p>
    <w:p w14:paraId="578482F7">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拟</w:t>
      </w:r>
      <w:r>
        <w:rPr>
          <w:rFonts w:hint="eastAsia" w:asciiTheme="minorEastAsia" w:hAnsiTheme="minorEastAsia"/>
          <w:color w:val="auto"/>
          <w:sz w:val="24"/>
          <w:szCs w:val="24"/>
          <w:highlight w:val="none"/>
          <w:lang w:val="en-US" w:eastAsia="zh-CN"/>
        </w:rPr>
        <w:t>采用评标方法：</w:t>
      </w:r>
      <w:r>
        <w:rPr>
          <w:rFonts w:hint="eastAsia" w:ascii="宋体" w:hAnsi="宋体"/>
          <w:bCs/>
          <w:color w:val="auto"/>
          <w:sz w:val="24"/>
          <w:szCs w:val="24"/>
          <w:highlight w:val="none"/>
          <w:lang w:val="en-US" w:eastAsia="zh-CN"/>
        </w:rPr>
        <w:t>质量优先法</w:t>
      </w:r>
    </w:p>
    <w:p w14:paraId="0401053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asciiTheme="minorEastAsia" w:hAnsiTheme="minorEastAsia"/>
          <w:color w:val="auto"/>
          <w:sz w:val="24"/>
          <w:szCs w:val="24"/>
          <w:highlight w:val="none"/>
        </w:rPr>
      </w:pPr>
      <w:r>
        <w:rPr>
          <w:rFonts w:hint="eastAsia" w:asciiTheme="minorEastAsia" w:hAnsiTheme="minorEastAsia"/>
          <w:color w:val="auto"/>
          <w:sz w:val="24"/>
          <w:szCs w:val="24"/>
          <w:highlight w:val="none"/>
          <w:lang w:val="en-US" w:eastAsia="zh-CN"/>
        </w:rPr>
        <w:t>5</w:t>
      </w:r>
      <w:r>
        <w:rPr>
          <w:rFonts w:hint="eastAsia" w:asciiTheme="minorEastAsia" w:hAnsiTheme="minorEastAsia"/>
          <w:color w:val="auto"/>
          <w:sz w:val="24"/>
          <w:szCs w:val="24"/>
          <w:highlight w:val="none"/>
        </w:rPr>
        <w:t>、拟采用的组织形式：分散采购</w:t>
      </w:r>
    </w:p>
    <w:p w14:paraId="748F47F3">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6</w:t>
      </w:r>
      <w:r>
        <w:rPr>
          <w:rFonts w:hint="eastAsia" w:asciiTheme="minorEastAsia" w:hAnsiTheme="minorEastAsia"/>
          <w:color w:val="auto"/>
          <w:sz w:val="24"/>
          <w:szCs w:val="24"/>
          <w:highlight w:val="none"/>
        </w:rPr>
        <w:t>、项目名称及数量：</w:t>
      </w:r>
      <w:r>
        <w:rPr>
          <w:rFonts w:hint="eastAsia" w:asciiTheme="minorEastAsia" w:hAnsiTheme="minorEastAsia"/>
          <w:color w:val="auto"/>
          <w:sz w:val="24"/>
          <w:szCs w:val="24"/>
          <w:highlight w:val="none"/>
          <w:lang w:eastAsia="zh-CN"/>
        </w:rPr>
        <w:t>2024-2025年度宜兴市市级投资项目审核咨询服务框架协议</w:t>
      </w:r>
      <w:r>
        <w:rPr>
          <w:rFonts w:hint="eastAsia" w:asciiTheme="minorEastAsia" w:hAnsiTheme="minorEastAsia"/>
          <w:color w:val="auto"/>
          <w:sz w:val="24"/>
          <w:szCs w:val="24"/>
          <w:highlight w:val="none"/>
        </w:rPr>
        <w:t>，数量：1</w:t>
      </w:r>
      <w:r>
        <w:rPr>
          <w:rFonts w:hint="eastAsia" w:asciiTheme="minorEastAsia" w:hAnsiTheme="minorEastAsia"/>
          <w:color w:val="auto"/>
          <w:sz w:val="24"/>
          <w:szCs w:val="24"/>
          <w:highlight w:val="none"/>
          <w:lang w:val="en-US" w:eastAsia="zh-CN"/>
        </w:rPr>
        <w:t>批</w:t>
      </w:r>
    </w:p>
    <w:p w14:paraId="1CEF4884">
      <w:pPr>
        <w:keepNext w:val="0"/>
        <w:keepLines w:val="0"/>
        <w:pageBreakBefore w:val="0"/>
        <w:widowControl w:val="0"/>
        <w:numPr>
          <w:ilvl w:val="0"/>
          <w:numId w:val="0"/>
        </w:numPr>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lang w:val="en-US" w:eastAsia="zh-CN"/>
        </w:rPr>
        <w:t>7</w:t>
      </w:r>
      <w:r>
        <w:rPr>
          <w:rFonts w:hint="eastAsia" w:asciiTheme="minorEastAsia" w:hAnsiTheme="minorEastAsia"/>
          <w:color w:val="auto"/>
          <w:sz w:val="24"/>
          <w:szCs w:val="24"/>
          <w:highlight w:val="none"/>
        </w:rPr>
        <w:t>、采购预算：</w:t>
      </w:r>
      <w:r>
        <w:rPr>
          <w:rFonts w:hint="eastAsia" w:asciiTheme="minorEastAsia" w:hAnsiTheme="minorEastAsia"/>
          <w:color w:val="auto"/>
          <w:sz w:val="24"/>
          <w:szCs w:val="24"/>
          <w:highlight w:val="none"/>
          <w:lang w:val="en-US" w:eastAsia="zh-CN"/>
        </w:rPr>
        <w:t>400万</w:t>
      </w:r>
    </w:p>
    <w:p w14:paraId="08F5EC4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heme="minorEastAsia" w:hAnsiTheme="minorEastAsia"/>
          <w:color w:val="auto"/>
          <w:sz w:val="24"/>
          <w:szCs w:val="24"/>
          <w:highlight w:val="none"/>
          <w:lang w:val="en-US" w:eastAsia="zh-CN"/>
        </w:rPr>
      </w:pPr>
      <w:bookmarkStart w:id="2" w:name="_Toc22828744"/>
      <w:r>
        <w:rPr>
          <w:rFonts w:hint="eastAsia" w:asciiTheme="minorEastAsia" w:hAnsiTheme="minorEastAsia"/>
          <w:color w:val="auto"/>
          <w:sz w:val="24"/>
          <w:szCs w:val="24"/>
          <w:highlight w:val="none"/>
          <w:lang w:val="en-US" w:eastAsia="zh-CN"/>
        </w:rPr>
        <w:t>8、最高限价：同采购预算</w:t>
      </w:r>
    </w:p>
    <w:p w14:paraId="1B79AD9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9、</w:t>
      </w:r>
      <w:r>
        <w:rPr>
          <w:rFonts w:hint="eastAsia" w:asciiTheme="minorEastAsia" w:hAnsiTheme="minorEastAsia"/>
          <w:color w:val="auto"/>
          <w:sz w:val="24"/>
          <w:szCs w:val="24"/>
          <w:highlight w:val="none"/>
          <w:lang w:val="zh-CN" w:eastAsia="zh-CN"/>
        </w:rPr>
        <w:t>框架协议期限：自框架协议签订生效之日起至2025年12月31日。</w:t>
      </w:r>
    </w:p>
    <w:p w14:paraId="54C5D2C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10、验收方式：征集人根据国家有关规定、征集文件、响应文件以及合同约定的内容组织验收，具体验收办法详见《宜兴市政府采购项目履约验收管理办法》（宜财采〔2023〕3号）</w:t>
      </w:r>
    </w:p>
    <w:p w14:paraId="62AECF1D">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11、服务地点：征集人指定地点。</w:t>
      </w:r>
    </w:p>
    <w:p w14:paraId="37AA661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12、适用框架协议的征集人或者服务对象范围：宜兴市财政局。</w:t>
      </w:r>
    </w:p>
    <w:p w14:paraId="0BAB1DD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13、费用计取标准：根据“收费标准、报价系数以及考核结果”结算工程造价咨询服务费用。</w:t>
      </w:r>
    </w:p>
    <w:p w14:paraId="3E044A01">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备注：实际工程造价咨询服务费用=项目收费标准×报价系数×考核系数</w:t>
      </w:r>
    </w:p>
    <w:p w14:paraId="460C587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color w:val="auto"/>
          <w:highlight w:val="none"/>
          <w:lang w:val="en-US" w:eastAsia="zh-CN"/>
        </w:rPr>
      </w:pPr>
      <w:r>
        <w:rPr>
          <w:rFonts w:hint="eastAsia" w:asciiTheme="minorEastAsia" w:hAnsiTheme="minorEastAsia"/>
          <w:color w:val="auto"/>
          <w:sz w:val="24"/>
          <w:szCs w:val="24"/>
          <w:highlight w:val="none"/>
          <w:lang w:val="en-US" w:eastAsia="zh-CN"/>
        </w:rPr>
        <w:t>报价系数=</w:t>
      </w:r>
      <w:r>
        <w:rPr>
          <w:rFonts w:hint="eastAsia" w:asciiTheme="minorEastAsia" w:hAnsiTheme="minorEastAsia"/>
          <w:color w:val="auto"/>
          <w:position w:val="-26"/>
          <w:sz w:val="24"/>
          <w:szCs w:val="24"/>
          <w:highlight w:val="none"/>
          <w:lang w:val="en-US" w:eastAsia="zh-CN"/>
        </w:rPr>
        <w:object>
          <v:shape id="_x0000_i1025" o:spt="75" type="#_x0000_t75" style="height:33pt;width:89pt;" o:ole="t" filled="f" o:preferrelative="t" stroked="f" coordsize="21600,21600">
            <v:path/>
            <v:fill on="f" focussize="0,0"/>
            <v:stroke on="f"/>
            <v:imagedata r:id="rId7" o:title=""/>
            <o:lock v:ext="edit" aspectratio="t"/>
            <w10:wrap type="none"/>
            <w10:anchorlock/>
          </v:shape>
          <o:OLEObject Type="Embed" ProgID="Equation.KSEE3" ShapeID="_x0000_i1025" DrawAspect="Content" ObjectID="_1468075725" r:id="rId6">
            <o:LockedField>false</o:LockedField>
          </o:OLEObject>
        </w:object>
      </w:r>
      <w:r>
        <w:rPr>
          <w:rFonts w:hint="eastAsia" w:asciiTheme="minorEastAsia" w:hAnsiTheme="minorEastAsia"/>
          <w:color w:val="auto"/>
          <w:sz w:val="24"/>
          <w:szCs w:val="24"/>
          <w:highlight w:val="none"/>
          <w:lang w:val="en-US" w:eastAsia="zh-CN"/>
        </w:rPr>
        <w:t>；考核系数=</w:t>
      </w:r>
      <w:r>
        <w:rPr>
          <w:rFonts w:hint="eastAsia" w:asciiTheme="minorEastAsia" w:hAnsiTheme="minorEastAsia"/>
          <w:color w:val="auto"/>
          <w:position w:val="-26"/>
          <w:sz w:val="24"/>
          <w:szCs w:val="24"/>
          <w:highlight w:val="none"/>
          <w:lang w:val="en-US" w:eastAsia="zh-CN"/>
        </w:rPr>
        <w:object>
          <v:shape id="_x0000_i1026" o:spt="75" type="#_x0000_t75" style="height:33pt;width:89pt;" o:ole="t" filled="f" o:preferrelative="t" stroked="f" coordsize="21600,21600">
            <v:path/>
            <v:fill on="f" focussize="0,0"/>
            <v:stroke on="f"/>
            <v:imagedata r:id="rId9" o:title=""/>
            <o:lock v:ext="edit" aspectratio="t"/>
            <w10:wrap type="none"/>
            <w10:anchorlock/>
          </v:shape>
          <o:OLEObject Type="Embed" ProgID="Equation.KSEE3" ShapeID="_x0000_i1026" DrawAspect="Content" ObjectID="_1468075726" r:id="rId8">
            <o:LockedField>false</o:LockedField>
          </o:OLEObject>
        </w:object>
      </w:r>
    </w:p>
    <w:p w14:paraId="3C40C2B1">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（1）概算审核：</w:t>
      </w:r>
    </w:p>
    <w:p w14:paraId="63C394F7">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关于2017年政府投资项目概算委托审核费用标准的通知</w:t>
      </w:r>
      <w:r>
        <w:rPr>
          <w:rFonts w:hint="default" w:asciiTheme="minorEastAsia" w:hAnsiTheme="minorEastAsia" w:eastAsiaTheme="minorEastAsia" w:cstheme="minorBidi"/>
          <w:color w:val="auto"/>
          <w:kern w:val="2"/>
          <w:sz w:val="24"/>
          <w:szCs w:val="24"/>
          <w:highlight w:val="none"/>
          <w:lang w:val="en-US" w:eastAsia="zh-CN" w:bidi="ar-SA"/>
        </w:rPr>
        <w:t>》（详见</w:t>
      </w:r>
      <w:r>
        <w:rPr>
          <w:rFonts w:hint="eastAsia" w:asciiTheme="minorEastAsia" w:hAnsiTheme="minorEastAsia" w:eastAsiaTheme="minorEastAsia" w:cstheme="minorBidi"/>
          <w:color w:val="auto"/>
          <w:kern w:val="2"/>
          <w:sz w:val="24"/>
          <w:szCs w:val="24"/>
          <w:highlight w:val="none"/>
          <w:lang w:val="en-US" w:eastAsia="zh-CN" w:bidi="ar-SA"/>
        </w:rPr>
        <w:t>宜财投审[2017]1号文</w:t>
      </w:r>
      <w:r>
        <w:rPr>
          <w:rFonts w:hint="default" w:asciiTheme="minorEastAsia" w:hAnsiTheme="minorEastAsia" w:eastAsiaTheme="minorEastAsia" w:cstheme="minorBidi"/>
          <w:color w:val="auto"/>
          <w:kern w:val="2"/>
          <w:sz w:val="24"/>
          <w:szCs w:val="24"/>
          <w:highlight w:val="none"/>
          <w:lang w:val="en-US" w:eastAsia="zh-CN" w:bidi="ar-SA"/>
        </w:rPr>
        <w:t>）的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p w14:paraId="33FFB723">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p>
    <w:tbl>
      <w:tblPr>
        <w:tblStyle w:val="23"/>
        <w:tblW w:w="10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035"/>
        <w:gridCol w:w="1324"/>
        <w:gridCol w:w="1821"/>
        <w:gridCol w:w="1633"/>
        <w:gridCol w:w="1608"/>
        <w:gridCol w:w="1326"/>
        <w:gridCol w:w="1194"/>
      </w:tblGrid>
      <w:tr w14:paraId="2A01D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4" w:type="dxa"/>
            <w:vAlign w:val="center"/>
          </w:tcPr>
          <w:p w14:paraId="623CA7C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035" w:type="dxa"/>
            <w:vAlign w:val="center"/>
          </w:tcPr>
          <w:p w14:paraId="2FF94E3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324" w:type="dxa"/>
            <w:vAlign w:val="center"/>
          </w:tcPr>
          <w:p w14:paraId="2E3F0F4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100万元以内(含）</w:t>
            </w:r>
          </w:p>
        </w:tc>
        <w:tc>
          <w:tcPr>
            <w:tcW w:w="1821" w:type="dxa"/>
            <w:vAlign w:val="center"/>
          </w:tcPr>
          <w:p w14:paraId="5A0ADB0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-500万元（含）</w:t>
            </w:r>
          </w:p>
        </w:tc>
        <w:tc>
          <w:tcPr>
            <w:tcW w:w="1633" w:type="dxa"/>
            <w:vAlign w:val="center"/>
          </w:tcPr>
          <w:p w14:paraId="39AEBEC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-1000万元（含）</w:t>
            </w:r>
          </w:p>
        </w:tc>
        <w:tc>
          <w:tcPr>
            <w:tcW w:w="1608" w:type="dxa"/>
            <w:vAlign w:val="center"/>
          </w:tcPr>
          <w:p w14:paraId="249274C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-5000万元（含）</w:t>
            </w:r>
          </w:p>
        </w:tc>
        <w:tc>
          <w:tcPr>
            <w:tcW w:w="1326" w:type="dxa"/>
            <w:vAlign w:val="center"/>
          </w:tcPr>
          <w:p w14:paraId="26273C7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-1亿元（含）</w:t>
            </w:r>
          </w:p>
        </w:tc>
        <w:tc>
          <w:tcPr>
            <w:tcW w:w="1194" w:type="dxa"/>
            <w:vAlign w:val="center"/>
          </w:tcPr>
          <w:p w14:paraId="473AC3B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1亿元以上</w:t>
            </w:r>
          </w:p>
        </w:tc>
      </w:tr>
      <w:tr w14:paraId="3EFA1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044" w:type="dxa"/>
            <w:vAlign w:val="center"/>
          </w:tcPr>
          <w:p w14:paraId="103F3E5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p>
        </w:tc>
        <w:tc>
          <w:tcPr>
            <w:tcW w:w="1035" w:type="dxa"/>
            <w:vAlign w:val="center"/>
          </w:tcPr>
          <w:p w14:paraId="27D99F9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送审概算造价</w:t>
            </w:r>
          </w:p>
        </w:tc>
        <w:tc>
          <w:tcPr>
            <w:tcW w:w="1324" w:type="dxa"/>
            <w:vAlign w:val="center"/>
          </w:tcPr>
          <w:p w14:paraId="67114FB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0.88‰</w:t>
            </w:r>
          </w:p>
        </w:tc>
        <w:tc>
          <w:tcPr>
            <w:tcW w:w="1821" w:type="dxa"/>
            <w:vAlign w:val="center"/>
          </w:tcPr>
          <w:p w14:paraId="4ED95F4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0.72‰</w:t>
            </w:r>
          </w:p>
        </w:tc>
        <w:tc>
          <w:tcPr>
            <w:tcW w:w="1633" w:type="dxa"/>
            <w:vAlign w:val="center"/>
          </w:tcPr>
          <w:p w14:paraId="05EA3352">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0.56‰</w:t>
            </w:r>
          </w:p>
        </w:tc>
        <w:tc>
          <w:tcPr>
            <w:tcW w:w="1608" w:type="dxa"/>
            <w:vAlign w:val="center"/>
          </w:tcPr>
          <w:p w14:paraId="6D9D160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326" w:type="dxa"/>
            <w:vAlign w:val="center"/>
          </w:tcPr>
          <w:p w14:paraId="6DB947D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194" w:type="dxa"/>
            <w:vAlign w:val="center"/>
          </w:tcPr>
          <w:p w14:paraId="576B662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0.16‰</w:t>
            </w:r>
          </w:p>
        </w:tc>
      </w:tr>
    </w:tbl>
    <w:p w14:paraId="1F9D6282">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（2）招标控制价审核（工程类）：</w:t>
      </w:r>
    </w:p>
    <w:p w14:paraId="04166B05">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招标控制价审核（工程类）</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u w:val="single"/>
          <w:lang w:val="en-US" w:eastAsia="zh-CN" w:bidi="ar-SA"/>
        </w:rPr>
        <w:t>8</w:t>
      </w:r>
      <w:r>
        <w:rPr>
          <w:rFonts w:hint="default" w:asciiTheme="minorEastAsia" w:hAnsiTheme="minorEastAsia" w:eastAsiaTheme="minorEastAsia" w:cstheme="minorBidi"/>
          <w:color w:val="auto"/>
          <w:kern w:val="2"/>
          <w:sz w:val="24"/>
          <w:szCs w:val="24"/>
          <w:highlight w:val="none"/>
          <w:u w:val="single"/>
          <w:lang w:val="en-US" w:eastAsia="zh-CN" w:bidi="ar-SA"/>
        </w:rPr>
        <w:t>0%</w:t>
      </w:r>
      <w:r>
        <w:rPr>
          <w:rFonts w:hint="default" w:asciiTheme="minorEastAsia" w:hAnsiTheme="minorEastAsia" w:eastAsiaTheme="minorEastAsia" w:cstheme="minorBidi"/>
          <w:color w:val="auto"/>
          <w:kern w:val="2"/>
          <w:sz w:val="24"/>
          <w:szCs w:val="24"/>
          <w:highlight w:val="none"/>
          <w:lang w:val="en-US" w:eastAsia="zh-CN" w:bidi="ar-SA"/>
        </w:rPr>
        <w:t>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3"/>
        <w:tblW w:w="10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6"/>
        <w:gridCol w:w="1096"/>
        <w:gridCol w:w="1427"/>
        <w:gridCol w:w="1287"/>
        <w:gridCol w:w="1285"/>
        <w:gridCol w:w="1119"/>
        <w:gridCol w:w="1286"/>
        <w:gridCol w:w="1169"/>
      </w:tblGrid>
      <w:tr w14:paraId="4CF42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316" w:type="dxa"/>
            <w:vAlign w:val="center"/>
          </w:tcPr>
          <w:p w14:paraId="44A1243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096" w:type="dxa"/>
            <w:vAlign w:val="center"/>
          </w:tcPr>
          <w:p w14:paraId="069DE82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427" w:type="dxa"/>
            <w:vAlign w:val="center"/>
          </w:tcPr>
          <w:p w14:paraId="65F1FC3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500万元以内(含）</w:t>
            </w:r>
          </w:p>
        </w:tc>
        <w:tc>
          <w:tcPr>
            <w:tcW w:w="1287" w:type="dxa"/>
            <w:vAlign w:val="center"/>
          </w:tcPr>
          <w:p w14:paraId="6D616A0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1000万元以内（含）</w:t>
            </w:r>
          </w:p>
        </w:tc>
        <w:tc>
          <w:tcPr>
            <w:tcW w:w="1285" w:type="dxa"/>
            <w:vAlign w:val="center"/>
          </w:tcPr>
          <w:p w14:paraId="7535F5C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5000万元以内（含）</w:t>
            </w:r>
          </w:p>
        </w:tc>
        <w:tc>
          <w:tcPr>
            <w:tcW w:w="1119" w:type="dxa"/>
            <w:vAlign w:val="center"/>
          </w:tcPr>
          <w:p w14:paraId="5AB283D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1亿元以内（含）</w:t>
            </w:r>
          </w:p>
        </w:tc>
        <w:tc>
          <w:tcPr>
            <w:tcW w:w="1286" w:type="dxa"/>
            <w:vAlign w:val="center"/>
          </w:tcPr>
          <w:p w14:paraId="07CB5A3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5亿元以内（含）</w:t>
            </w:r>
          </w:p>
        </w:tc>
        <w:tc>
          <w:tcPr>
            <w:tcW w:w="1169" w:type="dxa"/>
            <w:vAlign w:val="center"/>
          </w:tcPr>
          <w:p w14:paraId="6FD7F99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5亿元以上</w:t>
            </w:r>
          </w:p>
        </w:tc>
      </w:tr>
      <w:tr w14:paraId="0965D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6" w:type="dxa"/>
            <w:vAlign w:val="center"/>
          </w:tcPr>
          <w:p w14:paraId="6A50E60B">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工程预算、招标控制价、投标报价（不含审核工程清单）</w:t>
            </w:r>
            <w:r>
              <w:rPr>
                <w:rFonts w:hint="eastAsia" w:asciiTheme="minorEastAsia" w:hAnsiTheme="minorEastAsia" w:cstheme="minorBidi"/>
                <w:color w:val="auto"/>
                <w:kern w:val="2"/>
                <w:sz w:val="24"/>
                <w:szCs w:val="24"/>
                <w:highlight w:val="none"/>
                <w:lang w:val="en-US" w:eastAsia="zh-CN" w:bidi="ar-SA"/>
              </w:rPr>
              <w:t>审核</w:t>
            </w:r>
          </w:p>
        </w:tc>
        <w:tc>
          <w:tcPr>
            <w:tcW w:w="1096" w:type="dxa"/>
            <w:vAlign w:val="center"/>
          </w:tcPr>
          <w:p w14:paraId="6D5B3B8E">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送审建安工程造价</w:t>
            </w:r>
          </w:p>
        </w:tc>
        <w:tc>
          <w:tcPr>
            <w:tcW w:w="1427" w:type="dxa"/>
            <w:vAlign w:val="center"/>
          </w:tcPr>
          <w:p w14:paraId="6A704FD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w:t>
            </w:r>
          </w:p>
        </w:tc>
        <w:tc>
          <w:tcPr>
            <w:tcW w:w="1287" w:type="dxa"/>
            <w:vAlign w:val="center"/>
          </w:tcPr>
          <w:p w14:paraId="2AAEABB5">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0.64‰</w:t>
            </w:r>
          </w:p>
        </w:tc>
        <w:tc>
          <w:tcPr>
            <w:tcW w:w="1285" w:type="dxa"/>
            <w:vAlign w:val="center"/>
          </w:tcPr>
          <w:p w14:paraId="0C58DB18">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119" w:type="dxa"/>
            <w:vAlign w:val="center"/>
          </w:tcPr>
          <w:p w14:paraId="1B0BA574">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w:t>
            </w:r>
          </w:p>
        </w:tc>
        <w:tc>
          <w:tcPr>
            <w:tcW w:w="1286" w:type="dxa"/>
            <w:vAlign w:val="center"/>
          </w:tcPr>
          <w:p w14:paraId="27E0EDC2">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169" w:type="dxa"/>
            <w:vAlign w:val="center"/>
          </w:tcPr>
          <w:p w14:paraId="74C7885D">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0.24‰</w:t>
            </w:r>
          </w:p>
        </w:tc>
      </w:tr>
    </w:tbl>
    <w:p w14:paraId="465B3D77">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（3）招标控制价审核（货物服务类）：</w:t>
      </w:r>
    </w:p>
    <w:p w14:paraId="522444BE">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招标控制价审核（货物服务类）</w:t>
      </w:r>
      <w:r>
        <w:rPr>
          <w:rFonts w:hint="default" w:asciiTheme="minorEastAsia" w:hAnsiTheme="minorEastAsia" w:eastAsiaTheme="minorEastAsia" w:cstheme="minorBidi"/>
          <w:color w:val="auto"/>
          <w:kern w:val="2"/>
          <w:sz w:val="24"/>
          <w:szCs w:val="24"/>
          <w:highlight w:val="none"/>
          <w:lang w:val="en-US" w:eastAsia="zh-CN" w:bidi="ar-SA"/>
        </w:rPr>
        <w:t>费用原则上</w:t>
      </w:r>
      <w:r>
        <w:rPr>
          <w:rFonts w:hint="eastAsia" w:asciiTheme="minorEastAsia" w:hAnsiTheme="minorEastAsia" w:eastAsiaTheme="minorEastAsia" w:cstheme="minorBidi"/>
          <w:color w:val="auto"/>
          <w:kern w:val="2"/>
          <w:sz w:val="24"/>
          <w:szCs w:val="24"/>
          <w:highlight w:val="none"/>
          <w:lang w:val="en-US" w:eastAsia="zh-CN" w:bidi="ar-SA"/>
        </w:rPr>
        <w:t>参照</w:t>
      </w:r>
      <w:r>
        <w:rPr>
          <w:rFonts w:hint="default" w:asciiTheme="minorEastAsia" w:hAnsiTheme="minorEastAsia" w:eastAsiaTheme="minorEastAsia" w:cstheme="minorBidi"/>
          <w:color w:val="auto"/>
          <w:kern w:val="2"/>
          <w:sz w:val="24"/>
          <w:szCs w:val="24"/>
          <w:highlight w:val="none"/>
          <w:lang w:val="en-US" w:eastAsia="zh-CN" w:bidi="ar-SA"/>
        </w:rPr>
        <w:t>《</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5</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2"/>
        <w:tblpPr w:leftFromText="180" w:rightFromText="180" w:vertAnchor="text" w:horzAnchor="page" w:tblpX="954" w:tblpY="167"/>
        <w:tblOverlap w:val="never"/>
        <w:tblW w:w="101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6"/>
        <w:gridCol w:w="1416"/>
        <w:gridCol w:w="1210"/>
        <w:gridCol w:w="1194"/>
        <w:gridCol w:w="1209"/>
        <w:gridCol w:w="1081"/>
        <w:gridCol w:w="1226"/>
        <w:gridCol w:w="1032"/>
      </w:tblGrid>
      <w:tr w14:paraId="2F0FAF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76EB9C5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416" w:type="dxa"/>
            <w:tcBorders>
              <w:top w:val="single" w:color="000000" w:sz="4" w:space="0"/>
              <w:left w:val="single" w:color="000000" w:sz="4" w:space="0"/>
              <w:bottom w:val="single" w:color="000000" w:sz="4" w:space="0"/>
              <w:right w:val="single" w:color="000000" w:sz="4" w:space="0"/>
            </w:tcBorders>
            <w:vAlign w:val="center"/>
          </w:tcPr>
          <w:p w14:paraId="7ED66E4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10" w:type="dxa"/>
            <w:tcBorders>
              <w:top w:val="single" w:color="000000" w:sz="4" w:space="0"/>
              <w:left w:val="single" w:color="000000" w:sz="4" w:space="0"/>
              <w:bottom w:val="single" w:color="000000" w:sz="4" w:space="0"/>
              <w:right w:val="single" w:color="000000" w:sz="4" w:space="0"/>
            </w:tcBorders>
          </w:tcPr>
          <w:p w14:paraId="079CED0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w:t>
            </w:r>
          </w:p>
        </w:tc>
        <w:tc>
          <w:tcPr>
            <w:tcW w:w="1194" w:type="dxa"/>
            <w:tcBorders>
              <w:top w:val="single" w:color="000000" w:sz="4" w:space="0"/>
              <w:left w:val="single" w:color="000000" w:sz="4" w:space="0"/>
              <w:bottom w:val="single" w:color="000000" w:sz="4" w:space="0"/>
              <w:right w:val="single" w:color="000000" w:sz="4" w:space="0"/>
            </w:tcBorders>
          </w:tcPr>
          <w:p w14:paraId="1CE4248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≤300</w:t>
            </w:r>
          </w:p>
          <w:p w14:paraId="4A7E01D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209" w:type="dxa"/>
            <w:tcBorders>
              <w:top w:val="single" w:color="000000" w:sz="4" w:space="0"/>
              <w:left w:val="single" w:color="000000" w:sz="4" w:space="0"/>
              <w:bottom w:val="single" w:color="000000" w:sz="4" w:space="0"/>
              <w:right w:val="single" w:color="000000" w:sz="4" w:space="0"/>
            </w:tcBorders>
          </w:tcPr>
          <w:p w14:paraId="2621F3B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p>
          <w:p w14:paraId="0F8FB2E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081" w:type="dxa"/>
            <w:tcBorders>
              <w:top w:val="single" w:color="000000" w:sz="4" w:space="0"/>
              <w:left w:val="single" w:color="000000" w:sz="4" w:space="0"/>
              <w:bottom w:val="single" w:color="000000" w:sz="4" w:space="0"/>
              <w:right w:val="single" w:color="000000" w:sz="4" w:space="0"/>
            </w:tcBorders>
          </w:tcPr>
          <w:p w14:paraId="7AA3208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w:t>
            </w:r>
          </w:p>
        </w:tc>
        <w:tc>
          <w:tcPr>
            <w:tcW w:w="1226" w:type="dxa"/>
            <w:tcBorders>
              <w:top w:val="single" w:color="000000" w:sz="4" w:space="0"/>
              <w:left w:val="single" w:color="000000" w:sz="4" w:space="0"/>
              <w:bottom w:val="single" w:color="000000" w:sz="4" w:space="0"/>
              <w:right w:val="single" w:color="000000" w:sz="4" w:space="0"/>
            </w:tcBorders>
          </w:tcPr>
          <w:p w14:paraId="28BBE91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w:t>
            </w:r>
          </w:p>
        </w:tc>
        <w:tc>
          <w:tcPr>
            <w:tcW w:w="1032" w:type="dxa"/>
            <w:tcBorders>
              <w:top w:val="single" w:color="000000" w:sz="4" w:space="0"/>
              <w:left w:val="single" w:color="000000" w:sz="4" w:space="0"/>
              <w:bottom w:val="single" w:color="000000" w:sz="4" w:space="0"/>
              <w:right w:val="single" w:color="000000" w:sz="4" w:space="0"/>
            </w:tcBorders>
          </w:tcPr>
          <w:p w14:paraId="4262A06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&gt;5000万元</w:t>
            </w:r>
          </w:p>
        </w:tc>
      </w:tr>
      <w:tr w14:paraId="71DBD2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4BE54CE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招标控制价审核</w:t>
            </w:r>
          </w:p>
        </w:tc>
        <w:tc>
          <w:tcPr>
            <w:tcW w:w="1416" w:type="dxa"/>
            <w:tcBorders>
              <w:top w:val="single" w:color="000000" w:sz="4" w:space="0"/>
              <w:left w:val="single" w:color="000000" w:sz="4" w:space="0"/>
              <w:bottom w:val="single" w:color="000000" w:sz="4" w:space="0"/>
              <w:right w:val="single" w:color="000000" w:sz="4" w:space="0"/>
            </w:tcBorders>
            <w:vAlign w:val="center"/>
          </w:tcPr>
          <w:p w14:paraId="2A48232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送审标底价</w:t>
            </w:r>
          </w:p>
        </w:tc>
        <w:tc>
          <w:tcPr>
            <w:tcW w:w="1210" w:type="dxa"/>
            <w:tcBorders>
              <w:top w:val="single" w:color="000000" w:sz="4" w:space="0"/>
              <w:left w:val="single" w:color="000000" w:sz="4" w:space="0"/>
              <w:bottom w:val="single" w:color="000000" w:sz="4" w:space="0"/>
              <w:right w:val="single" w:color="000000" w:sz="4" w:space="0"/>
            </w:tcBorders>
            <w:vAlign w:val="center"/>
          </w:tcPr>
          <w:p w14:paraId="26DEE64B">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1.35‰</w:t>
            </w:r>
          </w:p>
        </w:tc>
        <w:tc>
          <w:tcPr>
            <w:tcW w:w="1194" w:type="dxa"/>
            <w:tcBorders>
              <w:top w:val="single" w:color="000000" w:sz="4" w:space="0"/>
              <w:left w:val="single" w:color="000000" w:sz="4" w:space="0"/>
              <w:bottom w:val="single" w:color="000000" w:sz="4" w:space="0"/>
              <w:right w:val="single" w:color="000000" w:sz="4" w:space="0"/>
            </w:tcBorders>
            <w:vAlign w:val="center"/>
          </w:tcPr>
          <w:p w14:paraId="3ECB1FF4">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1.2‰</w:t>
            </w:r>
          </w:p>
        </w:tc>
        <w:tc>
          <w:tcPr>
            <w:tcW w:w="1209" w:type="dxa"/>
            <w:tcBorders>
              <w:top w:val="single" w:color="000000" w:sz="4" w:space="0"/>
              <w:left w:val="single" w:color="000000" w:sz="4" w:space="0"/>
              <w:bottom w:val="single" w:color="000000" w:sz="4" w:space="0"/>
              <w:right w:val="single" w:color="000000" w:sz="4" w:space="0"/>
            </w:tcBorders>
            <w:vAlign w:val="center"/>
          </w:tcPr>
          <w:p w14:paraId="3CDAB12B">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1.05‰</w:t>
            </w:r>
          </w:p>
        </w:tc>
        <w:tc>
          <w:tcPr>
            <w:tcW w:w="1081" w:type="dxa"/>
            <w:tcBorders>
              <w:top w:val="single" w:color="000000" w:sz="4" w:space="0"/>
              <w:left w:val="single" w:color="000000" w:sz="4" w:space="0"/>
              <w:bottom w:val="single" w:color="000000" w:sz="4" w:space="0"/>
              <w:right w:val="single" w:color="000000" w:sz="4" w:space="0"/>
            </w:tcBorders>
            <w:vAlign w:val="center"/>
          </w:tcPr>
          <w:p w14:paraId="618FF2F3">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0.85‰</w:t>
            </w:r>
          </w:p>
        </w:tc>
        <w:tc>
          <w:tcPr>
            <w:tcW w:w="1226" w:type="dxa"/>
            <w:tcBorders>
              <w:top w:val="single" w:color="000000" w:sz="4" w:space="0"/>
              <w:left w:val="single" w:color="000000" w:sz="4" w:space="0"/>
              <w:bottom w:val="single" w:color="000000" w:sz="4" w:space="0"/>
              <w:right w:val="single" w:color="000000" w:sz="4" w:space="0"/>
            </w:tcBorders>
            <w:vAlign w:val="center"/>
          </w:tcPr>
          <w:p w14:paraId="4B771245">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w:t>
            </w:r>
          </w:p>
        </w:tc>
        <w:tc>
          <w:tcPr>
            <w:tcW w:w="1032" w:type="dxa"/>
            <w:tcBorders>
              <w:top w:val="single" w:color="000000" w:sz="4" w:space="0"/>
              <w:left w:val="single" w:color="000000" w:sz="4" w:space="0"/>
              <w:bottom w:val="single" w:color="000000" w:sz="4" w:space="0"/>
              <w:right w:val="single" w:color="000000" w:sz="4" w:space="0"/>
            </w:tcBorders>
            <w:vAlign w:val="center"/>
          </w:tcPr>
          <w:p w14:paraId="7F02468C">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0.55‰</w:t>
            </w:r>
          </w:p>
        </w:tc>
      </w:tr>
    </w:tbl>
    <w:p w14:paraId="49F3588D">
      <w:pPr>
        <w:pStyle w:val="28"/>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以工作日为单位计算报酬的计日工：</w:t>
      </w:r>
    </w:p>
    <w:p w14:paraId="5AA1AC8B">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default" w:asciiTheme="minorEastAsia" w:hAnsiTheme="minorEastAsia" w:eastAsiaTheme="minorEastAsia" w:cstheme="minorBidi"/>
          <w:color w:val="auto"/>
          <w:kern w:val="2"/>
          <w:sz w:val="24"/>
          <w:szCs w:val="24"/>
          <w:highlight w:val="none"/>
          <w:lang w:val="en-US" w:eastAsia="zh-CN" w:bidi="ar-SA"/>
        </w:rPr>
        <w:t>参照</w:t>
      </w:r>
      <w:r>
        <w:rPr>
          <w:rFonts w:hint="eastAsia" w:asciiTheme="minorEastAsia" w:hAnsiTheme="minorEastAsia" w:eastAsiaTheme="minorEastAsia" w:cstheme="minorBidi"/>
          <w:color w:val="auto"/>
          <w:kern w:val="2"/>
          <w:sz w:val="24"/>
          <w:szCs w:val="24"/>
          <w:highlight w:val="none"/>
          <w:lang w:val="en-US" w:eastAsia="zh-CN" w:bidi="ar-SA"/>
        </w:rPr>
        <w:t>《关于</w:t>
      </w:r>
      <w:r>
        <w:rPr>
          <w:rFonts w:hint="default" w:asciiTheme="minorEastAsia" w:hAnsiTheme="minorEastAsia" w:eastAsiaTheme="minorEastAsia" w:cstheme="minorBidi"/>
          <w:color w:val="auto"/>
          <w:kern w:val="2"/>
          <w:sz w:val="24"/>
          <w:szCs w:val="24"/>
          <w:highlight w:val="none"/>
          <w:lang w:val="en-US" w:eastAsia="zh-CN" w:bidi="ar-SA"/>
        </w:rPr>
        <w:t>2022-2023</w:t>
      </w:r>
      <w:r>
        <w:rPr>
          <w:rFonts w:hint="eastAsia" w:asciiTheme="minorEastAsia" w:hAnsiTheme="minorEastAsia" w:eastAsiaTheme="minorEastAsia" w:cstheme="minorBidi"/>
          <w:color w:val="auto"/>
          <w:kern w:val="2"/>
          <w:sz w:val="24"/>
          <w:szCs w:val="24"/>
          <w:highlight w:val="none"/>
          <w:lang w:val="en-US" w:eastAsia="zh-CN" w:bidi="ar-SA"/>
        </w:rPr>
        <w:t>年度市行政事业单位审计服务—工程造价审计定点采购的通知》（锡详见财购〔2022〕8号）规定的计日工标准的</w:t>
      </w:r>
      <w:r>
        <w:rPr>
          <w:rFonts w:hint="eastAsia" w:asciiTheme="minorEastAsia" w:hAnsiTheme="minorEastAsia" w:eastAsiaTheme="minorEastAsia" w:cstheme="minorBidi"/>
          <w:color w:val="auto"/>
          <w:kern w:val="2"/>
          <w:sz w:val="24"/>
          <w:szCs w:val="24"/>
          <w:highlight w:val="none"/>
          <w:u w:val="single"/>
          <w:lang w:val="en-US" w:eastAsia="zh-CN" w:bidi="ar-SA"/>
        </w:rPr>
        <w:t xml:space="preserve"> 70% </w:t>
      </w:r>
      <w:r>
        <w:rPr>
          <w:rFonts w:hint="eastAsia" w:asciiTheme="minorEastAsia" w:hAnsiTheme="minorEastAsia" w:eastAsiaTheme="minorEastAsia" w:cstheme="minorBidi"/>
          <w:color w:val="auto"/>
          <w:kern w:val="2"/>
          <w:sz w:val="24"/>
          <w:szCs w:val="24"/>
          <w:highlight w:val="none"/>
          <w:lang w:val="en-US" w:eastAsia="zh-CN" w:bidi="ar-SA"/>
        </w:rPr>
        <w:t>计取，具体费用如下：注册造价工程师1200元/人·天（含税）；一般工程协审人员600元/人·天（含税）。</w:t>
      </w:r>
    </w:p>
    <w:p w14:paraId="77A7F1E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2"/>
        <w:rPr>
          <w:rFonts w:asciiTheme="minorEastAsia" w:hAnsiTheme="minorEastAsia"/>
          <w:b/>
          <w:color w:val="auto"/>
          <w:sz w:val="24"/>
          <w:szCs w:val="24"/>
          <w:highlight w:val="none"/>
        </w:rPr>
      </w:pPr>
      <w:r>
        <w:rPr>
          <w:rFonts w:hint="eastAsia" w:asciiTheme="minorEastAsia" w:hAnsiTheme="minorEastAsia"/>
          <w:b/>
          <w:color w:val="auto"/>
          <w:sz w:val="24"/>
          <w:szCs w:val="24"/>
          <w:highlight w:val="none"/>
        </w:rPr>
        <w:t>二、</w:t>
      </w:r>
      <w:bookmarkEnd w:id="2"/>
      <w:r>
        <w:rPr>
          <w:rFonts w:hint="eastAsia" w:asciiTheme="minorEastAsia" w:hAnsiTheme="minorEastAsia"/>
          <w:b/>
          <w:color w:val="auto"/>
          <w:sz w:val="24"/>
          <w:szCs w:val="24"/>
          <w:highlight w:val="none"/>
          <w:lang w:eastAsia="zh-CN"/>
        </w:rPr>
        <w:t>供应商</w:t>
      </w:r>
      <w:r>
        <w:rPr>
          <w:rFonts w:hint="eastAsia" w:asciiTheme="minorEastAsia" w:hAnsiTheme="minorEastAsia"/>
          <w:b/>
          <w:color w:val="auto"/>
          <w:sz w:val="24"/>
          <w:szCs w:val="24"/>
          <w:highlight w:val="none"/>
          <w:lang w:val="zh-CN"/>
        </w:rPr>
        <w:t>应具备</w:t>
      </w:r>
      <w:r>
        <w:rPr>
          <w:rFonts w:hint="eastAsia" w:asciiTheme="minorEastAsia" w:hAnsiTheme="minorEastAsia"/>
          <w:b/>
          <w:color w:val="auto"/>
          <w:sz w:val="24"/>
          <w:szCs w:val="24"/>
          <w:highlight w:val="none"/>
          <w:lang w:val="en-US" w:eastAsia="zh-CN"/>
        </w:rPr>
        <w:t>的</w:t>
      </w:r>
      <w:r>
        <w:rPr>
          <w:rFonts w:hint="eastAsia" w:asciiTheme="minorEastAsia" w:hAnsiTheme="minorEastAsia"/>
          <w:b/>
          <w:color w:val="auto"/>
          <w:sz w:val="24"/>
          <w:szCs w:val="24"/>
          <w:highlight w:val="none"/>
          <w:lang w:val="zh-CN"/>
        </w:rPr>
        <w:t>资格条件</w:t>
      </w:r>
      <w:r>
        <w:rPr>
          <w:rFonts w:hint="eastAsia" w:asciiTheme="minorEastAsia" w:hAnsiTheme="minorEastAsia"/>
          <w:b/>
          <w:color w:val="auto"/>
          <w:sz w:val="24"/>
          <w:szCs w:val="24"/>
          <w:highlight w:val="none"/>
        </w:rPr>
        <w:t>：</w:t>
      </w:r>
    </w:p>
    <w:p w14:paraId="16F97A1B">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Theme="minorEastAsia" w:hAnsiTheme="minorEastAsia" w:eastAsiaTheme="minorEastAsia" w:cstheme="minorBidi"/>
          <w:color w:val="auto"/>
          <w:kern w:val="2"/>
          <w:sz w:val="24"/>
          <w:szCs w:val="24"/>
          <w:highlight w:val="none"/>
          <w:lang w:val="zh-CN" w:eastAsia="zh-CN" w:bidi="ar-SA"/>
        </w:rPr>
      </w:pPr>
      <w:bookmarkStart w:id="3" w:name="_Toc22828745"/>
      <w:bookmarkStart w:id="4" w:name="_Toc26983"/>
      <w:bookmarkStart w:id="5" w:name="_Toc27472"/>
      <w:r>
        <w:rPr>
          <w:rFonts w:hint="eastAsia" w:asciiTheme="minorEastAsia" w:hAnsiTheme="minorEastAsia" w:eastAsiaTheme="minorEastAsia" w:cstheme="minorBidi"/>
          <w:color w:val="auto"/>
          <w:kern w:val="2"/>
          <w:sz w:val="24"/>
          <w:szCs w:val="24"/>
          <w:highlight w:val="none"/>
          <w:lang w:val="en-US" w:eastAsia="zh-CN" w:bidi="ar-SA"/>
        </w:rPr>
        <w:t>1、满足《中华人民共和国政府采购法》第二十二条规定</w:t>
      </w:r>
      <w:r>
        <w:rPr>
          <w:rFonts w:hint="eastAsia" w:asciiTheme="minorEastAsia" w:hAnsiTheme="minorEastAsia" w:eastAsiaTheme="minorEastAsia" w:cstheme="minorBidi"/>
          <w:color w:val="auto"/>
          <w:kern w:val="2"/>
          <w:sz w:val="24"/>
          <w:szCs w:val="24"/>
          <w:highlight w:val="none"/>
          <w:lang w:val="zh-CN" w:eastAsia="zh-CN" w:bidi="ar-SA"/>
        </w:rPr>
        <w:t>；</w:t>
      </w:r>
    </w:p>
    <w:p w14:paraId="6302B4A3">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2、落实政府采购政策需满足的资格要求：本项目专门面向中小企业采购</w:t>
      </w:r>
      <w:bookmarkEnd w:id="3"/>
    </w:p>
    <w:p w14:paraId="1EF393E1">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sectPr>
          <w:pgSz w:w="11906" w:h="16838"/>
          <w:pgMar w:top="1134" w:right="426" w:bottom="1134" w:left="709" w:header="851" w:footer="992" w:gutter="0"/>
          <w:pgNumType w:fmt="numberInDash"/>
          <w:cols w:space="0" w:num="1"/>
          <w:rtlGutter w:val="0"/>
          <w:docGrid w:type="lines" w:linePitch="312" w:charSpace="0"/>
        </w:sectPr>
      </w:pPr>
      <w:r>
        <w:rPr>
          <w:rFonts w:hint="eastAsia" w:asciiTheme="minorEastAsia" w:hAnsiTheme="minorEastAsia" w:eastAsiaTheme="minorEastAsia" w:cstheme="minorBidi"/>
          <w:color w:val="auto"/>
          <w:kern w:val="2"/>
          <w:sz w:val="24"/>
          <w:szCs w:val="24"/>
          <w:highlight w:val="none"/>
          <w:lang w:val="en-US" w:eastAsia="zh-CN" w:bidi="ar-SA"/>
        </w:rPr>
        <w:t>3、本项目的特定资格要求：无</w:t>
      </w:r>
    </w:p>
    <w:p w14:paraId="324E02AB">
      <w:pPr>
        <w:keepNext w:val="0"/>
        <w:keepLines w:val="0"/>
        <w:pageBreakBefore/>
        <w:widowControl w:val="0"/>
        <w:kinsoku/>
        <w:wordWrap/>
        <w:overflowPunct/>
        <w:topLinePunct w:val="0"/>
        <w:autoSpaceDE/>
        <w:autoSpaceDN/>
        <w:bidi w:val="0"/>
        <w:adjustRightInd/>
        <w:snapToGrid/>
        <w:jc w:val="center"/>
        <w:textAlignment w:val="auto"/>
        <w:outlineLvl w:val="0"/>
        <w:rPr>
          <w:rFonts w:ascii="黑体" w:hAnsi="黑体" w:eastAsia="黑体"/>
          <w:color w:val="auto"/>
          <w:sz w:val="28"/>
          <w:highlight w:val="none"/>
        </w:rPr>
      </w:pPr>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二</w:t>
      </w:r>
      <w:r>
        <w:rPr>
          <w:rFonts w:hint="eastAsia" w:ascii="黑体" w:hAnsi="黑体" w:eastAsia="黑体"/>
          <w:color w:val="auto"/>
          <w:sz w:val="28"/>
          <w:highlight w:val="none"/>
        </w:rPr>
        <w:t>章 项目技术要求和有关说明</w:t>
      </w:r>
      <w:bookmarkEnd w:id="4"/>
    </w:p>
    <w:p w14:paraId="0F692AB7">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本次入围为</w:t>
      </w:r>
      <w:r>
        <w:rPr>
          <w:rFonts w:hint="eastAsia" w:ascii="宋体" w:hAnsi="宋体"/>
          <w:color w:val="auto"/>
          <w:sz w:val="24"/>
          <w:szCs w:val="24"/>
          <w:highlight w:val="none"/>
          <w:lang w:eastAsia="zh-CN"/>
        </w:rPr>
        <w:t>宜兴市财政局2024-2025年度宜兴市市级投资项目审核咨询服务框架协议</w:t>
      </w:r>
      <w:r>
        <w:rPr>
          <w:rFonts w:hint="eastAsia" w:ascii="宋体" w:hAnsi="宋体"/>
          <w:color w:val="auto"/>
          <w:sz w:val="24"/>
          <w:szCs w:val="24"/>
          <w:highlight w:val="none"/>
        </w:rPr>
        <w:t>，具体要求如下，</w:t>
      </w:r>
      <w:r>
        <w:rPr>
          <w:rFonts w:hint="eastAsia" w:ascii="宋体" w:hAnsi="宋体"/>
          <w:color w:val="auto"/>
          <w:sz w:val="24"/>
          <w:szCs w:val="24"/>
          <w:highlight w:val="none"/>
          <w:lang w:eastAsia="zh-CN"/>
        </w:rPr>
        <w:t>供应商</w:t>
      </w:r>
      <w:r>
        <w:rPr>
          <w:rFonts w:hint="eastAsia" w:ascii="宋体" w:hAnsi="宋体"/>
          <w:color w:val="auto"/>
          <w:sz w:val="24"/>
          <w:szCs w:val="24"/>
          <w:highlight w:val="none"/>
        </w:rPr>
        <w:t>须提供满足以下要求的服务，不得有负偏离。</w:t>
      </w:r>
    </w:p>
    <w:p w14:paraId="6B5E0685">
      <w:pPr>
        <w:spacing w:before="156" w:beforeLines="50" w:after="156" w:afterLines="50" w:line="360" w:lineRule="auto"/>
        <w:ind w:left="420" w:leftChars="200"/>
        <w:rPr>
          <w:rFonts w:hint="eastAsia" w:ascii="宋体" w:hAnsi="宋体" w:eastAsia="宋体"/>
          <w:b/>
          <w:bCs/>
          <w:color w:val="auto"/>
          <w:sz w:val="24"/>
          <w:szCs w:val="24"/>
          <w:highlight w:val="none"/>
          <w:lang w:eastAsia="zh-CN"/>
        </w:rPr>
      </w:pPr>
      <w:r>
        <w:rPr>
          <w:rFonts w:hint="eastAsia" w:ascii="宋体" w:hAnsi="宋体"/>
          <w:b/>
          <w:bCs/>
          <w:color w:val="auto"/>
          <w:sz w:val="24"/>
          <w:szCs w:val="24"/>
          <w:highlight w:val="none"/>
        </w:rPr>
        <w:t>一、</w:t>
      </w:r>
      <w:r>
        <w:rPr>
          <w:rFonts w:hint="eastAsia" w:ascii="宋体" w:hAnsi="宋体"/>
          <w:b/>
          <w:bCs/>
          <w:color w:val="auto"/>
          <w:sz w:val="24"/>
          <w:szCs w:val="24"/>
          <w:highlight w:val="none"/>
          <w:lang w:val="en-US" w:eastAsia="zh-CN"/>
        </w:rPr>
        <w:t>项目概况</w:t>
      </w:r>
    </w:p>
    <w:p w14:paraId="1FE219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 xml:space="preserve">1.项目名称：2024-2025年度宜兴市市级投资项目审核咨询服务框架协议                             </w:t>
      </w:r>
    </w:p>
    <w:p w14:paraId="7D1115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2.品    目：服务</w:t>
      </w:r>
    </w:p>
    <w:p w14:paraId="2E64AF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3.征 集 人：宜兴市财政局</w:t>
      </w:r>
    </w:p>
    <w:p w14:paraId="700264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4.采购代理机构：无锡君瑞祥泰招标有限公司</w:t>
      </w:r>
    </w:p>
    <w:p w14:paraId="25B576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 xml:space="preserve">5.本项目是否专门面向中小企业：是                        </w:t>
      </w:r>
    </w:p>
    <w:p w14:paraId="7E6859B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 xml:space="preserve">6.采购方式：封闭式框架协议采购                                  </w:t>
      </w:r>
    </w:p>
    <w:p w14:paraId="06B8B7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7.评标方法：质量优先法</w:t>
      </w:r>
    </w:p>
    <w:p w14:paraId="655135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8.预算金额：400万元</w:t>
      </w:r>
    </w:p>
    <w:p w14:paraId="2D1FE8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9.最高限价：同预算金额</w:t>
      </w:r>
    </w:p>
    <w:p w14:paraId="24DCFD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10.框架协议期限：</w:t>
      </w:r>
      <w:r>
        <w:rPr>
          <w:rFonts w:hint="eastAsia" w:asciiTheme="minorEastAsia" w:hAnsiTheme="minorEastAsia"/>
          <w:color w:val="auto"/>
          <w:sz w:val="24"/>
          <w:szCs w:val="24"/>
          <w:highlight w:val="none"/>
          <w:lang w:val="zh-CN" w:eastAsia="zh-CN"/>
        </w:rPr>
        <w:t>自框架协议签订生效之日起至2025年12月31日</w:t>
      </w:r>
      <w:r>
        <w:rPr>
          <w:rFonts w:hint="eastAsia" w:ascii="宋体" w:hAnsi="宋体"/>
          <w:color w:val="auto"/>
          <w:sz w:val="24"/>
          <w:szCs w:val="24"/>
          <w:highlight w:val="none"/>
          <w:lang w:val="en-US" w:eastAsia="zh-CN"/>
        </w:rPr>
        <w:t>。</w:t>
      </w:r>
    </w:p>
    <w:p w14:paraId="32C113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11.适用框架协议的征集人或者服务对象范围：</w:t>
      </w:r>
      <w:r>
        <w:rPr>
          <w:rFonts w:hint="eastAsia" w:asciiTheme="minorEastAsia" w:hAnsiTheme="minorEastAsia"/>
          <w:color w:val="auto"/>
          <w:sz w:val="24"/>
          <w:szCs w:val="24"/>
          <w:highlight w:val="none"/>
          <w:lang w:val="en-US" w:eastAsia="zh-CN"/>
        </w:rPr>
        <w:t>宜兴市财政局</w:t>
      </w:r>
      <w:r>
        <w:rPr>
          <w:rFonts w:hint="eastAsia" w:ascii="宋体" w:hAnsi="宋体"/>
          <w:color w:val="auto"/>
          <w:sz w:val="24"/>
          <w:szCs w:val="24"/>
          <w:highlight w:val="none"/>
          <w:lang w:val="en-US" w:eastAsia="zh-CN"/>
        </w:rPr>
        <w:t>。</w:t>
      </w:r>
    </w:p>
    <w:p w14:paraId="55A5D71D">
      <w:pPr>
        <w:spacing w:before="156" w:beforeLines="50" w:after="156" w:afterLines="50" w:line="360" w:lineRule="auto"/>
        <w:ind w:left="420" w:leftChars="200"/>
        <w:rPr>
          <w:rFonts w:hint="eastAsia" w:ascii="宋体" w:hAnsi="宋体"/>
          <w:b/>
          <w:bCs/>
          <w:color w:val="auto"/>
          <w:sz w:val="24"/>
          <w:szCs w:val="24"/>
          <w:highlight w:val="none"/>
          <w:lang w:val="en-US" w:eastAsia="zh-CN"/>
        </w:rPr>
      </w:pPr>
      <w:r>
        <w:rPr>
          <w:rFonts w:hint="eastAsia" w:ascii="宋体" w:hAnsi="宋体"/>
          <w:b/>
          <w:bCs/>
          <w:color w:val="auto"/>
          <w:sz w:val="24"/>
          <w:szCs w:val="24"/>
          <w:highlight w:val="none"/>
        </w:rPr>
        <w:t>二、</w:t>
      </w:r>
      <w:r>
        <w:rPr>
          <w:rFonts w:hint="eastAsia" w:ascii="宋体" w:hAnsi="宋体"/>
          <w:b/>
          <w:bCs/>
          <w:color w:val="auto"/>
          <w:sz w:val="24"/>
          <w:szCs w:val="24"/>
          <w:highlight w:val="none"/>
          <w:lang w:val="en-US" w:eastAsia="zh-CN"/>
        </w:rPr>
        <w:t>采购需求</w:t>
      </w:r>
    </w:p>
    <w:p w14:paraId="3FAE64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1、 需求标准</w:t>
      </w:r>
    </w:p>
    <w:p w14:paraId="07D375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集中采购目录以外且采购限额标准以上且属于小额零星采购的咨询服务。（备注：根据工作需要聘请第三方专业机构协助开展宜兴市市级投资项目咨询服务，主要包括：概算审核、招标控制价审核、计日工等）。入围供应商能提供专业咨询服务，严格按照国家政策、行业规定、征集人要求开展咨询服务工作，发表专业意见并出具成果文件，对成果的真实性、完整性、准确性负责。</w:t>
      </w:r>
    </w:p>
    <w:p w14:paraId="1E72BE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2、确定第一阶段入围供应商的评审方法：质量优先法，提交响应文件和符合资格条件、实质性要求的供应商淘汰率按20%计算，且至少淘汰一家供应商（提交响应文件和符合资格条件、实质性要求的供应商少于2家时，采购活动终止）。本项目入围供应商上限为20家。</w:t>
      </w:r>
    </w:p>
    <w:p w14:paraId="69B1F0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3、确定第二阶段成交供应商的方法：</w:t>
      </w:r>
      <w:r>
        <w:rPr>
          <w:rFonts w:hint="eastAsia" w:ascii="宋体" w:hAnsi="宋体" w:cs="宋体"/>
          <w:color w:val="auto"/>
          <w:sz w:val="24"/>
          <w:szCs w:val="24"/>
          <w:highlight w:val="none"/>
        </w:rPr>
        <w:t>直接选定</w:t>
      </w:r>
      <w:r>
        <w:rPr>
          <w:rFonts w:hint="eastAsia" w:ascii="宋体" w:hAnsi="宋体" w:cs="宋体"/>
          <w:color w:val="auto"/>
          <w:sz w:val="24"/>
          <w:szCs w:val="24"/>
          <w:highlight w:val="none"/>
          <w:lang w:eastAsia="zh-CN"/>
        </w:rPr>
        <w:t>，由征集人通过苏采云系统从第一阶段入围供应商中直接选定</w:t>
      </w:r>
      <w:r>
        <w:rPr>
          <w:rFonts w:hint="eastAsia" w:ascii="宋体" w:hAnsi="宋体" w:eastAsia="宋体" w:cs="宋体"/>
          <w:bCs/>
          <w:color w:val="auto"/>
          <w:sz w:val="24"/>
          <w:szCs w:val="24"/>
          <w:highlight w:val="none"/>
          <w:lang w:eastAsia="zh-CN"/>
        </w:rPr>
        <w:t>。</w:t>
      </w:r>
      <w:r>
        <w:rPr>
          <w:rFonts w:hint="eastAsia" w:ascii="宋体" w:hAnsi="宋体" w:cs="宋体"/>
          <w:color w:val="auto"/>
          <w:sz w:val="24"/>
          <w:szCs w:val="24"/>
          <w:highlight w:val="none"/>
        </w:rPr>
        <w:t>第一阶段入围供应商的协议价格是</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确定第二阶段成交供应商的</w:t>
      </w:r>
      <w:r>
        <w:rPr>
          <w:rFonts w:hint="eastAsia" w:ascii="宋体" w:hAnsi="宋体" w:eastAsia="宋体" w:cs="Times New Roman"/>
          <w:color w:val="auto"/>
          <w:sz w:val="24"/>
          <w:szCs w:val="24"/>
          <w:highlight w:val="none"/>
          <w:lang w:val="en-US" w:eastAsia="zh-CN"/>
        </w:rPr>
        <w:t xml:space="preserve">最高限价。  </w:t>
      </w:r>
    </w:p>
    <w:p w14:paraId="0F9343F0">
      <w:pPr>
        <w:spacing w:before="156" w:beforeLines="50" w:after="156" w:afterLines="50" w:line="360" w:lineRule="auto"/>
        <w:ind w:left="420" w:leftChars="200"/>
        <w:rPr>
          <w:rFonts w:hint="default" w:ascii="宋体" w:hAnsi="宋体" w:eastAsia="宋体" w:cs="Times New Roman"/>
          <w:b/>
          <w:bCs/>
          <w:color w:val="auto"/>
          <w:sz w:val="24"/>
          <w:szCs w:val="24"/>
          <w:highlight w:val="none"/>
          <w:lang w:val="en-US" w:eastAsia="zh-CN"/>
        </w:rPr>
      </w:pPr>
      <w:r>
        <w:rPr>
          <w:rFonts w:hint="eastAsia" w:ascii="宋体" w:hAnsi="宋体" w:eastAsia="宋体" w:cs="Times New Roman"/>
          <w:b/>
          <w:bCs/>
          <w:color w:val="auto"/>
          <w:sz w:val="24"/>
          <w:szCs w:val="24"/>
          <w:highlight w:val="none"/>
          <w:lang w:val="en-US" w:eastAsia="zh-CN"/>
        </w:rPr>
        <w:t>三、技术参数</w:t>
      </w:r>
    </w:p>
    <w:p w14:paraId="3C6F7D03">
      <w:pPr>
        <w:pStyle w:val="28"/>
        <w:numPr>
          <w:ilvl w:val="0"/>
          <w:numId w:val="0"/>
        </w:numPr>
        <w:spacing w:line="360" w:lineRule="auto"/>
        <w:ind w:firstLine="482" w:firstLineChars="200"/>
        <w:rPr>
          <w:rFonts w:hint="eastAsia" w:ascii="宋体" w:hAnsi="宋体" w:cs="Times New Roman"/>
          <w:b w:val="0"/>
          <w:bCs w:val="0"/>
          <w:color w:val="auto"/>
          <w:kern w:val="2"/>
          <w:sz w:val="24"/>
          <w:szCs w:val="24"/>
          <w:highlight w:val="none"/>
          <w:lang w:val="en-US" w:eastAsia="zh-CN" w:bidi="ar-SA"/>
        </w:rPr>
      </w:pPr>
      <w:r>
        <w:rPr>
          <w:rFonts w:hint="eastAsia" w:ascii="宋体" w:hAnsi="宋体" w:cs="Times New Roman"/>
          <w:b/>
          <w:bCs/>
          <w:color w:val="auto"/>
          <w:sz w:val="24"/>
          <w:szCs w:val="24"/>
          <w:highlight w:val="none"/>
          <w:lang w:val="en-US" w:eastAsia="zh-CN"/>
        </w:rPr>
        <w:t>1、</w:t>
      </w:r>
      <w:r>
        <w:rPr>
          <w:rFonts w:hint="eastAsia" w:ascii="宋体" w:hAnsi="宋体" w:eastAsia="宋体" w:cs="宋体"/>
          <w:color w:val="auto"/>
          <w:sz w:val="24"/>
          <w:highlight w:val="none"/>
        </w:rPr>
        <w:t>在项目协审期间</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供应商的协审人员须常驻宜兴，且在接到征集人通知后2小时内到达征集人要求的服务地点，</w:t>
      </w:r>
      <w:r>
        <w:rPr>
          <w:rFonts w:hint="eastAsia" w:ascii="宋体" w:hAnsi="宋体" w:eastAsia="宋体" w:cs="宋体"/>
          <w:color w:val="auto"/>
          <w:sz w:val="24"/>
          <w:highlight w:val="none"/>
        </w:rPr>
        <w:t>如不按</w:t>
      </w:r>
      <w:r>
        <w:rPr>
          <w:rFonts w:hint="eastAsia" w:ascii="宋体" w:hAnsi="宋体" w:cs="宋体"/>
          <w:color w:val="auto"/>
          <w:sz w:val="24"/>
          <w:highlight w:val="none"/>
          <w:lang w:val="en-US" w:eastAsia="zh-CN"/>
        </w:rPr>
        <w:t>要求人员常驻</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则</w:t>
      </w:r>
      <w:r>
        <w:rPr>
          <w:rFonts w:hint="eastAsia" w:ascii="宋体" w:hAnsi="宋体" w:eastAsia="宋体" w:cs="宋体"/>
          <w:color w:val="auto"/>
          <w:sz w:val="24"/>
          <w:highlight w:val="none"/>
        </w:rPr>
        <w:t>按相关考核办法扣分</w:t>
      </w:r>
      <w:r>
        <w:rPr>
          <w:rFonts w:hint="eastAsia" w:ascii="宋体" w:hAnsi="宋体" w:cs="Times New Roman"/>
          <w:b w:val="0"/>
          <w:bCs w:val="0"/>
          <w:color w:val="auto"/>
          <w:kern w:val="2"/>
          <w:sz w:val="24"/>
          <w:szCs w:val="24"/>
          <w:highlight w:val="none"/>
          <w:lang w:val="en-US" w:eastAsia="zh-CN" w:bidi="ar-SA"/>
        </w:rPr>
        <w:t>。</w:t>
      </w:r>
    </w:p>
    <w:p w14:paraId="378161BE">
      <w:pPr>
        <w:pStyle w:val="28"/>
        <w:numPr>
          <w:ilvl w:val="0"/>
          <w:numId w:val="0"/>
        </w:numPr>
        <w:spacing w:line="360" w:lineRule="auto"/>
        <w:ind w:firstLine="480" w:firstLineChars="200"/>
        <w:rPr>
          <w:rFonts w:hint="default" w:ascii="宋体" w:hAnsi="宋体" w:eastAsia="宋体" w:cs="Times New Roman"/>
          <w:b/>
          <w:bCs/>
          <w:color w:val="auto"/>
          <w:sz w:val="24"/>
          <w:szCs w:val="24"/>
          <w:highlight w:val="none"/>
          <w:lang w:val="en-US" w:eastAsia="zh-CN"/>
        </w:rPr>
      </w:pPr>
      <w:r>
        <w:rPr>
          <w:rFonts w:hint="eastAsia" w:ascii="宋体" w:hAnsi="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val="en-US" w:eastAsia="zh-CN"/>
        </w:rPr>
        <w:t>、</w:t>
      </w:r>
      <w:r>
        <w:rPr>
          <w:rFonts w:hint="default" w:ascii="宋体" w:hAnsi="宋体" w:eastAsia="宋体" w:cs="Times New Roman"/>
          <w:color w:val="auto"/>
          <w:sz w:val="24"/>
          <w:szCs w:val="24"/>
          <w:highlight w:val="none"/>
          <w:lang w:val="en-US" w:eastAsia="zh-CN"/>
        </w:rPr>
        <w:t>拟入围机构从事工程造价专业人员不少于6人，执业资格需为</w:t>
      </w:r>
      <w:r>
        <w:rPr>
          <w:rFonts w:hint="eastAsia" w:ascii="宋体" w:hAnsi="宋体" w:eastAsia="宋体" w:cs="Times New Roman"/>
          <w:color w:val="auto"/>
          <w:sz w:val="24"/>
          <w:szCs w:val="24"/>
          <w:highlight w:val="none"/>
          <w:lang w:val="en-US" w:eastAsia="zh-CN"/>
        </w:rPr>
        <w:t>二级及以上</w:t>
      </w:r>
      <w:r>
        <w:rPr>
          <w:rFonts w:hint="default" w:ascii="宋体" w:hAnsi="宋体" w:eastAsia="宋体" w:cs="Times New Roman"/>
          <w:color w:val="auto"/>
          <w:sz w:val="24"/>
          <w:szCs w:val="24"/>
          <w:highlight w:val="none"/>
          <w:lang w:val="en-US" w:eastAsia="zh-CN"/>
        </w:rPr>
        <w:t>注册造价工程师</w:t>
      </w:r>
      <w:r>
        <w:rPr>
          <w:rFonts w:hint="eastAsia" w:ascii="宋体" w:hAnsi="宋体" w:cs="Times New Roman"/>
          <w:color w:val="auto"/>
          <w:sz w:val="24"/>
          <w:szCs w:val="24"/>
          <w:highlight w:val="none"/>
          <w:lang w:val="en-US" w:eastAsia="zh-CN"/>
        </w:rPr>
        <w:t>，</w:t>
      </w:r>
      <w:r>
        <w:rPr>
          <w:rFonts w:hint="eastAsia" w:ascii="宋体" w:hAnsi="宋体" w:eastAsia="宋体" w:cs="宋体"/>
          <w:color w:val="auto"/>
          <w:sz w:val="24"/>
          <w:highlight w:val="none"/>
        </w:rPr>
        <w:t>专业范围</w:t>
      </w:r>
      <w:r>
        <w:rPr>
          <w:rFonts w:hint="eastAsia" w:ascii="宋体" w:hAnsi="宋体" w:eastAsia="宋体" w:cs="宋体"/>
          <w:color w:val="auto"/>
          <w:sz w:val="24"/>
          <w:highlight w:val="none"/>
          <w:lang w:val="en-US" w:eastAsia="zh-CN"/>
        </w:rPr>
        <w:t>包</w:t>
      </w:r>
      <w:r>
        <w:rPr>
          <w:rFonts w:hint="eastAsia" w:ascii="宋体" w:hAnsi="宋体" w:eastAsia="宋体" w:cs="宋体"/>
          <w:color w:val="auto"/>
          <w:sz w:val="24"/>
          <w:highlight w:val="none"/>
        </w:rPr>
        <w:t>括土建、安装、交通、水利</w:t>
      </w:r>
      <w:r>
        <w:rPr>
          <w:rFonts w:hint="default" w:ascii="宋体" w:hAnsi="宋体" w:eastAsia="宋体" w:cs="Times New Roman"/>
          <w:color w:val="auto"/>
          <w:sz w:val="24"/>
          <w:szCs w:val="24"/>
          <w:highlight w:val="none"/>
          <w:lang w:val="en-US" w:eastAsia="zh-CN"/>
        </w:rPr>
        <w:t>。所有专业人员需与所在造价咨询机构（总公司或分支机构）签订聘用合同。</w:t>
      </w:r>
      <w:r>
        <w:rPr>
          <w:rFonts w:hint="eastAsia" w:ascii="宋体" w:hAnsi="宋体" w:eastAsia="宋体" w:cs="Times New Roman"/>
          <w:b/>
          <w:bCs/>
          <w:color w:val="auto"/>
          <w:sz w:val="24"/>
          <w:szCs w:val="24"/>
          <w:highlight w:val="none"/>
          <w:lang w:val="en-US" w:eastAsia="zh-CN"/>
        </w:rPr>
        <w:t>（</w:t>
      </w:r>
      <w:r>
        <w:rPr>
          <w:rFonts w:hint="default" w:ascii="宋体" w:hAnsi="宋体" w:eastAsia="宋体" w:cs="Times New Roman"/>
          <w:b/>
          <w:bCs/>
          <w:color w:val="auto"/>
          <w:sz w:val="24"/>
          <w:szCs w:val="24"/>
          <w:highlight w:val="none"/>
          <w:lang w:val="en-US" w:eastAsia="zh-CN"/>
        </w:rPr>
        <w:t>以上专业人员所涉及的聘用合同、专业技术职称、注册造价工程师、造价员资格等</w:t>
      </w:r>
      <w:r>
        <w:rPr>
          <w:rFonts w:hint="eastAsia" w:ascii="宋体" w:hAnsi="宋体" w:eastAsia="宋体" w:cs="Times New Roman"/>
          <w:b/>
          <w:bCs/>
          <w:color w:val="auto"/>
          <w:sz w:val="24"/>
          <w:szCs w:val="24"/>
          <w:highlight w:val="none"/>
          <w:lang w:val="en-US" w:eastAsia="zh-CN"/>
        </w:rPr>
        <w:t>原件扫描件</w:t>
      </w:r>
      <w:r>
        <w:rPr>
          <w:rFonts w:hint="default" w:ascii="宋体" w:hAnsi="宋体" w:eastAsia="宋体" w:cs="Times New Roman"/>
          <w:b/>
          <w:bCs/>
          <w:color w:val="auto"/>
          <w:sz w:val="24"/>
          <w:szCs w:val="24"/>
          <w:highlight w:val="none"/>
          <w:lang w:val="en-US" w:eastAsia="zh-CN"/>
        </w:rPr>
        <w:t>需放入</w:t>
      </w:r>
      <w:r>
        <w:rPr>
          <w:rFonts w:hint="eastAsia" w:ascii="宋体" w:hAnsi="宋体" w:cs="Times New Roman"/>
          <w:b/>
          <w:bCs/>
          <w:color w:val="auto"/>
          <w:sz w:val="24"/>
          <w:szCs w:val="24"/>
          <w:highlight w:val="none"/>
          <w:lang w:val="en-US" w:eastAsia="zh-CN"/>
        </w:rPr>
        <w:t>响应文件</w:t>
      </w:r>
      <w:r>
        <w:rPr>
          <w:rFonts w:hint="default" w:ascii="宋体" w:hAnsi="宋体" w:eastAsia="宋体" w:cs="Times New Roman"/>
          <w:b/>
          <w:bCs/>
          <w:color w:val="auto"/>
          <w:sz w:val="24"/>
          <w:szCs w:val="24"/>
          <w:highlight w:val="none"/>
          <w:lang w:val="en-US" w:eastAsia="zh-CN"/>
        </w:rPr>
        <w:t>中。同时</w:t>
      </w:r>
      <w:r>
        <w:rPr>
          <w:rFonts w:hint="eastAsia" w:ascii="宋体" w:hAnsi="宋体" w:cs="Times New Roman"/>
          <w:b/>
          <w:bCs/>
          <w:color w:val="auto"/>
          <w:sz w:val="24"/>
          <w:szCs w:val="24"/>
          <w:highlight w:val="none"/>
          <w:lang w:val="en-US" w:eastAsia="zh-CN"/>
        </w:rPr>
        <w:t>供应商</w:t>
      </w:r>
      <w:r>
        <w:rPr>
          <w:rFonts w:hint="default" w:ascii="宋体" w:hAnsi="宋体" w:eastAsia="宋体" w:cs="Times New Roman"/>
          <w:b/>
          <w:bCs/>
          <w:color w:val="auto"/>
          <w:sz w:val="24"/>
          <w:szCs w:val="24"/>
          <w:highlight w:val="none"/>
          <w:lang w:val="en-US" w:eastAsia="zh-CN"/>
        </w:rPr>
        <w:t>须提供拟入围人员</w:t>
      </w:r>
      <w:r>
        <w:rPr>
          <w:rFonts w:hint="eastAsia" w:ascii="宋体" w:hAnsi="宋体" w:eastAsia="宋体" w:cs="Times New Roman"/>
          <w:b/>
          <w:bCs/>
          <w:color w:val="auto"/>
          <w:sz w:val="24"/>
          <w:szCs w:val="24"/>
          <w:highlight w:val="none"/>
          <w:lang w:val="en-US" w:eastAsia="zh-CN"/>
        </w:rPr>
        <w:t>开标前6个月内连续</w:t>
      </w:r>
      <w:r>
        <w:rPr>
          <w:rFonts w:hint="default" w:ascii="宋体" w:hAnsi="宋体" w:eastAsia="宋体" w:cs="Times New Roman"/>
          <w:b/>
          <w:bCs/>
          <w:color w:val="auto"/>
          <w:sz w:val="24"/>
          <w:szCs w:val="24"/>
          <w:highlight w:val="none"/>
          <w:lang w:val="en-US" w:eastAsia="zh-CN"/>
        </w:rPr>
        <w:t>三个月的社会保险缴费证明的</w:t>
      </w:r>
      <w:r>
        <w:rPr>
          <w:rFonts w:hint="eastAsia" w:ascii="宋体" w:hAnsi="宋体" w:eastAsia="宋体" w:cs="Times New Roman"/>
          <w:b/>
          <w:bCs/>
          <w:color w:val="auto"/>
          <w:sz w:val="24"/>
          <w:szCs w:val="24"/>
          <w:highlight w:val="none"/>
          <w:lang w:val="en-US" w:eastAsia="zh-CN"/>
        </w:rPr>
        <w:t>原件扫描件</w:t>
      </w:r>
      <w:r>
        <w:rPr>
          <w:rFonts w:hint="default" w:ascii="宋体" w:hAnsi="宋体" w:eastAsia="宋体" w:cs="Times New Roman"/>
          <w:b/>
          <w:bCs/>
          <w:color w:val="auto"/>
          <w:sz w:val="24"/>
          <w:szCs w:val="24"/>
          <w:highlight w:val="none"/>
          <w:lang w:val="en-US" w:eastAsia="zh-CN"/>
        </w:rPr>
        <w:t>。社会保险缴费证明需加盖人社部门业务专用章，同时注明单位名称和个人姓名等。</w:t>
      </w:r>
      <w:r>
        <w:rPr>
          <w:rFonts w:hint="eastAsia" w:ascii="宋体" w:hAnsi="宋体" w:eastAsia="宋体" w:cs="Times New Roman"/>
          <w:b/>
          <w:bCs/>
          <w:color w:val="auto"/>
          <w:sz w:val="24"/>
          <w:szCs w:val="24"/>
          <w:highlight w:val="none"/>
          <w:lang w:val="en-US" w:eastAsia="zh-CN"/>
        </w:rPr>
        <w:t>）</w:t>
      </w:r>
    </w:p>
    <w:p w14:paraId="462D21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3、暂停交易资格</w:t>
      </w:r>
    </w:p>
    <w:p w14:paraId="14DDB6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（1）未按照征集文件与采购合同要求配备协审人员的；</w:t>
      </w:r>
    </w:p>
    <w:p w14:paraId="6B08FA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（2）未经</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同意，擅自更换协审人员的；</w:t>
      </w:r>
    </w:p>
    <w:p w14:paraId="24A6F4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（3）服务期间，协审人员不按规定常驻宜兴的；</w:t>
      </w:r>
    </w:p>
    <w:p w14:paraId="7E2225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（4）抽查过程中发现在宜</w:t>
      </w:r>
      <w:r>
        <w:rPr>
          <w:rFonts w:hint="eastAsia" w:ascii="宋体" w:hAnsi="宋体" w:eastAsia="宋体" w:cs="Times New Roman"/>
          <w:color w:val="auto"/>
          <w:sz w:val="24"/>
          <w:szCs w:val="24"/>
          <w:highlight w:val="none"/>
          <w:lang w:val="en-US" w:eastAsia="zh-CN"/>
        </w:rPr>
        <w:t>办公</w:t>
      </w:r>
      <w:r>
        <w:rPr>
          <w:rFonts w:hint="default" w:ascii="宋体" w:hAnsi="宋体" w:eastAsia="宋体" w:cs="Times New Roman"/>
          <w:color w:val="auto"/>
          <w:sz w:val="24"/>
          <w:szCs w:val="24"/>
          <w:highlight w:val="none"/>
          <w:lang w:val="en-US" w:eastAsia="zh-CN"/>
        </w:rPr>
        <w:t>人员不符合要求的；</w:t>
      </w:r>
    </w:p>
    <w:p w14:paraId="03C731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（5）项目审核误差率超过行业相关规定或</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要求的；</w:t>
      </w:r>
    </w:p>
    <w:p w14:paraId="5BB6CC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（6）项目审核时效超过</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相关规定的；</w:t>
      </w:r>
    </w:p>
    <w:p w14:paraId="119BB8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（7）单个项目考核得分低于90分的；</w:t>
      </w:r>
    </w:p>
    <w:p w14:paraId="4F4DBD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（8）项目资料遗失严重的；</w:t>
      </w:r>
    </w:p>
    <w:p w14:paraId="48BD3D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（9）未严格履行保密义务的；</w:t>
      </w:r>
    </w:p>
    <w:p w14:paraId="763C8D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（10）项目协审过程中，未遵守项目审核管理规范，出具报告不符合要求的；</w:t>
      </w:r>
    </w:p>
    <w:p w14:paraId="4AD22C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（11）协审机构在概算审核中，违反公平公正原则，恶意提高或降低审核标准的。</w:t>
      </w:r>
    </w:p>
    <w:p w14:paraId="311CCF2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在项目履约过程中出现（1）-（7）情形的，由</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对协审机构进行约谈并给予警告，责令限期整改。协审机构受到</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第1次警告时，暂停其框架协议交易资格六个月；受到</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第2次警告时，暂停其框架协议有效期内交易资格。</w:t>
      </w:r>
    </w:p>
    <w:p w14:paraId="59F20B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在项目履约过程中出现（8）-（11）情形的，由</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对协审机构进行约谈，责令限期整改并暂停其框架协议有效期内交易资格。</w:t>
      </w:r>
    </w:p>
    <w:p w14:paraId="4A5C21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对于上述情形，不接受约谈或被约谈后拒不整改以及整改不到位的协审机构，</w:t>
      </w:r>
      <w:r>
        <w:rPr>
          <w:rFonts w:hint="eastAsia" w:ascii="宋体" w:hAnsi="宋体" w:eastAsia="宋体" w:cs="Times New Roman"/>
          <w:color w:val="auto"/>
          <w:sz w:val="24"/>
          <w:szCs w:val="24"/>
          <w:highlight w:val="none"/>
          <w:lang w:val="en-US" w:eastAsia="zh-CN"/>
        </w:rPr>
        <w:t>征集人</w:t>
      </w:r>
      <w:r>
        <w:rPr>
          <w:rFonts w:hint="default" w:ascii="宋体" w:hAnsi="宋体" w:eastAsia="宋体" w:cs="Times New Roman"/>
          <w:color w:val="auto"/>
          <w:sz w:val="24"/>
          <w:szCs w:val="24"/>
          <w:highlight w:val="none"/>
          <w:lang w:val="en-US" w:eastAsia="zh-CN"/>
        </w:rPr>
        <w:t>有权取消协审机构该项目的服务资格，重新进行委派。</w:t>
      </w:r>
    </w:p>
    <w:p w14:paraId="56F8E4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4、终止交易资格</w:t>
      </w:r>
    </w:p>
    <w:p w14:paraId="09C8C3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入围供应商被发现存在《政府采购框架协议采购方式管理暂行办法》（财政部令第110号）第十九条所列情形的；或存在下列情形的，解除当期框架协议，同时将建议有关部门对其进行处罚，并纳入信用记录：</w:t>
      </w:r>
    </w:p>
    <w:p w14:paraId="188D47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（1）入围供应商不符合国家有关规定的；</w:t>
      </w:r>
    </w:p>
    <w:p w14:paraId="1269D5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（2）无正当理由拒不接受合同授予的；</w:t>
      </w:r>
    </w:p>
    <w:p w14:paraId="3AA5A7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（3）出具虚假工程造价成果文件的；</w:t>
      </w:r>
    </w:p>
    <w:p w14:paraId="432A25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（4）造成项目重大损失的；</w:t>
      </w:r>
    </w:p>
    <w:p w14:paraId="4CC1AB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（5）存在人员挂靠、业务转包等现象的；</w:t>
      </w:r>
    </w:p>
    <w:p w14:paraId="50CA5E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（6）使用不正当竞争手段，影响采购单位正常采购活动；</w:t>
      </w:r>
    </w:p>
    <w:p w14:paraId="227955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（7）其他违法违规行为。</w:t>
      </w:r>
    </w:p>
    <w:p w14:paraId="3F2C503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5、</w:t>
      </w:r>
      <w:r>
        <w:rPr>
          <w:rFonts w:hint="default" w:ascii="宋体" w:hAnsi="宋体" w:eastAsia="宋体" w:cs="Times New Roman"/>
          <w:color w:val="auto"/>
          <w:sz w:val="24"/>
          <w:szCs w:val="24"/>
          <w:highlight w:val="none"/>
          <w:lang w:val="en-US" w:eastAsia="zh-CN"/>
        </w:rPr>
        <w:t>费用计取标准</w:t>
      </w:r>
      <w:r>
        <w:rPr>
          <w:rFonts w:hint="eastAsia" w:ascii="宋体" w:hAnsi="宋体" w:eastAsia="宋体" w:cs="Times New Roman"/>
          <w:color w:val="auto"/>
          <w:sz w:val="24"/>
          <w:szCs w:val="24"/>
          <w:highlight w:val="none"/>
          <w:lang w:val="en-US" w:eastAsia="zh-CN"/>
        </w:rPr>
        <w:t>：</w:t>
      </w:r>
      <w:r>
        <w:rPr>
          <w:rFonts w:hint="eastAsia" w:asciiTheme="minorEastAsia" w:hAnsiTheme="minorEastAsia"/>
          <w:color w:val="auto"/>
          <w:sz w:val="24"/>
          <w:szCs w:val="24"/>
          <w:highlight w:val="none"/>
          <w:lang w:val="en-US" w:eastAsia="zh-CN"/>
        </w:rPr>
        <w:t>根据“收费标准、报价系数以及考核结果”结算工程造价咨询服务费用。</w:t>
      </w:r>
    </w:p>
    <w:p w14:paraId="545FA7B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备注：实际工程造价咨询服务费用=项目收费标准×报价系数×考核系数</w:t>
      </w:r>
    </w:p>
    <w:p w14:paraId="318D240D">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color w:val="auto"/>
          <w:highlight w:val="none"/>
          <w:lang w:val="en-US" w:eastAsia="zh-CN"/>
        </w:rPr>
      </w:pPr>
      <w:r>
        <w:rPr>
          <w:rFonts w:hint="eastAsia" w:asciiTheme="minorEastAsia" w:hAnsiTheme="minorEastAsia"/>
          <w:color w:val="auto"/>
          <w:sz w:val="24"/>
          <w:szCs w:val="24"/>
          <w:highlight w:val="none"/>
          <w:lang w:val="en-US" w:eastAsia="zh-CN"/>
        </w:rPr>
        <w:t>报价系数=</w:t>
      </w:r>
      <w:r>
        <w:rPr>
          <w:rFonts w:hint="eastAsia" w:asciiTheme="minorEastAsia" w:hAnsiTheme="minorEastAsia"/>
          <w:color w:val="auto"/>
          <w:position w:val="-26"/>
          <w:sz w:val="24"/>
          <w:szCs w:val="24"/>
          <w:highlight w:val="none"/>
          <w:lang w:val="en-US" w:eastAsia="zh-CN"/>
        </w:rPr>
        <w:object>
          <v:shape id="_x0000_i1027" o:spt="75" type="#_x0000_t75" style="height:33pt;width:89pt;" o:ole="t" filled="f" o:preferrelative="t" stroked="f" coordsize="21600,21600">
            <v:path/>
            <v:fill on="f" focussize="0,0"/>
            <v:stroke on="f"/>
            <v:imagedata r:id="rId7" o:title=""/>
            <o:lock v:ext="edit" aspectratio="t"/>
            <w10:wrap type="none"/>
            <w10:anchorlock/>
          </v:shape>
          <o:OLEObject Type="Embed" ProgID="Equation.KSEE3" ShapeID="_x0000_i1027" DrawAspect="Content" ObjectID="_1468075727" r:id="rId10">
            <o:LockedField>false</o:LockedField>
          </o:OLEObject>
        </w:object>
      </w:r>
      <w:r>
        <w:rPr>
          <w:rFonts w:hint="eastAsia" w:asciiTheme="minorEastAsia" w:hAnsiTheme="minorEastAsia"/>
          <w:color w:val="auto"/>
          <w:sz w:val="24"/>
          <w:szCs w:val="24"/>
          <w:highlight w:val="none"/>
          <w:lang w:val="en-US" w:eastAsia="zh-CN"/>
        </w:rPr>
        <w:t>；考核系数=</w:t>
      </w:r>
      <w:r>
        <w:rPr>
          <w:rFonts w:hint="eastAsia" w:asciiTheme="minorEastAsia" w:hAnsiTheme="minorEastAsia"/>
          <w:color w:val="auto"/>
          <w:position w:val="-26"/>
          <w:sz w:val="24"/>
          <w:szCs w:val="24"/>
          <w:highlight w:val="none"/>
          <w:lang w:val="en-US" w:eastAsia="zh-CN"/>
        </w:rPr>
        <w:object>
          <v:shape id="_x0000_i1028" o:spt="75" type="#_x0000_t75" style="height:33pt;width:89pt;" o:ole="t" filled="f" o:preferrelative="t" stroked="f" coordsize="21600,21600">
            <v:path/>
            <v:fill on="f" focussize="0,0"/>
            <v:stroke on="f"/>
            <v:imagedata r:id="rId9" o:title=""/>
            <o:lock v:ext="edit" aspectratio="t"/>
            <w10:wrap type="none"/>
            <w10:anchorlock/>
          </v:shape>
          <o:OLEObject Type="Embed" ProgID="Equation.KSEE3" ShapeID="_x0000_i1028" DrawAspect="Content" ObjectID="_1468075728" r:id="rId11">
            <o:LockedField>false</o:LockedField>
          </o:OLEObject>
        </w:object>
      </w:r>
    </w:p>
    <w:p w14:paraId="2CCD6959">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（1）概算审核：</w:t>
      </w:r>
    </w:p>
    <w:p w14:paraId="21C8C39F">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关于2017年政府投资项目概算委托审核费用标准的通知</w:t>
      </w:r>
      <w:r>
        <w:rPr>
          <w:rFonts w:hint="default" w:asciiTheme="minorEastAsia" w:hAnsiTheme="minorEastAsia" w:eastAsiaTheme="minorEastAsia" w:cstheme="minorBidi"/>
          <w:color w:val="auto"/>
          <w:kern w:val="2"/>
          <w:sz w:val="24"/>
          <w:szCs w:val="24"/>
          <w:highlight w:val="none"/>
          <w:lang w:val="en-US" w:eastAsia="zh-CN" w:bidi="ar-SA"/>
        </w:rPr>
        <w:t>》（详见</w:t>
      </w:r>
      <w:r>
        <w:rPr>
          <w:rFonts w:hint="eastAsia" w:asciiTheme="minorEastAsia" w:hAnsiTheme="minorEastAsia" w:eastAsiaTheme="minorEastAsia" w:cstheme="minorBidi"/>
          <w:color w:val="auto"/>
          <w:kern w:val="2"/>
          <w:sz w:val="24"/>
          <w:szCs w:val="24"/>
          <w:highlight w:val="none"/>
          <w:lang w:val="en-US" w:eastAsia="zh-CN" w:bidi="ar-SA"/>
        </w:rPr>
        <w:t>宜财投审[2017]1号文</w:t>
      </w:r>
      <w:r>
        <w:rPr>
          <w:rFonts w:hint="default" w:asciiTheme="minorEastAsia" w:hAnsiTheme="minorEastAsia" w:eastAsiaTheme="minorEastAsia" w:cstheme="minorBidi"/>
          <w:color w:val="auto"/>
          <w:kern w:val="2"/>
          <w:sz w:val="24"/>
          <w:szCs w:val="24"/>
          <w:highlight w:val="none"/>
          <w:lang w:val="en-US" w:eastAsia="zh-CN" w:bidi="ar-SA"/>
        </w:rPr>
        <w:t>）的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137"/>
        <w:gridCol w:w="1457"/>
        <w:gridCol w:w="1247"/>
        <w:gridCol w:w="1247"/>
        <w:gridCol w:w="1385"/>
        <w:gridCol w:w="1283"/>
        <w:gridCol w:w="1085"/>
      </w:tblGrid>
      <w:tr w14:paraId="3C038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3" w:type="dxa"/>
            <w:vAlign w:val="center"/>
          </w:tcPr>
          <w:p w14:paraId="0E30EA5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137" w:type="dxa"/>
            <w:vAlign w:val="center"/>
          </w:tcPr>
          <w:p w14:paraId="2ABD43A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457" w:type="dxa"/>
            <w:vAlign w:val="center"/>
          </w:tcPr>
          <w:p w14:paraId="6A72CC1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100万元以内(含）</w:t>
            </w:r>
          </w:p>
        </w:tc>
        <w:tc>
          <w:tcPr>
            <w:tcW w:w="1247" w:type="dxa"/>
            <w:vAlign w:val="center"/>
          </w:tcPr>
          <w:p w14:paraId="0139923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-500万元（含）</w:t>
            </w:r>
          </w:p>
        </w:tc>
        <w:tc>
          <w:tcPr>
            <w:tcW w:w="1247" w:type="dxa"/>
            <w:vAlign w:val="center"/>
          </w:tcPr>
          <w:p w14:paraId="28B5F44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-1000万元（含）</w:t>
            </w:r>
          </w:p>
        </w:tc>
        <w:tc>
          <w:tcPr>
            <w:tcW w:w="1385" w:type="dxa"/>
            <w:vAlign w:val="center"/>
          </w:tcPr>
          <w:p w14:paraId="0879B21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-5000万元（含）</w:t>
            </w:r>
          </w:p>
        </w:tc>
        <w:tc>
          <w:tcPr>
            <w:tcW w:w="1283" w:type="dxa"/>
            <w:vAlign w:val="center"/>
          </w:tcPr>
          <w:p w14:paraId="721BA70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-1亿元（含）</w:t>
            </w:r>
          </w:p>
        </w:tc>
        <w:tc>
          <w:tcPr>
            <w:tcW w:w="1085" w:type="dxa"/>
            <w:vAlign w:val="center"/>
          </w:tcPr>
          <w:p w14:paraId="79D738D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1亿元以上</w:t>
            </w:r>
          </w:p>
        </w:tc>
      </w:tr>
      <w:tr w14:paraId="564B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143" w:type="dxa"/>
            <w:vAlign w:val="center"/>
          </w:tcPr>
          <w:p w14:paraId="57B347E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p>
        </w:tc>
        <w:tc>
          <w:tcPr>
            <w:tcW w:w="1137" w:type="dxa"/>
            <w:vAlign w:val="center"/>
          </w:tcPr>
          <w:p w14:paraId="66A72D9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送审概算造价</w:t>
            </w:r>
          </w:p>
        </w:tc>
        <w:tc>
          <w:tcPr>
            <w:tcW w:w="1457" w:type="dxa"/>
            <w:vAlign w:val="center"/>
          </w:tcPr>
          <w:p w14:paraId="61EEB69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0.88‰</w:t>
            </w:r>
          </w:p>
        </w:tc>
        <w:tc>
          <w:tcPr>
            <w:tcW w:w="1247" w:type="dxa"/>
            <w:vAlign w:val="center"/>
          </w:tcPr>
          <w:p w14:paraId="06D36CF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0.72‰</w:t>
            </w:r>
          </w:p>
        </w:tc>
        <w:tc>
          <w:tcPr>
            <w:tcW w:w="1247" w:type="dxa"/>
            <w:vAlign w:val="center"/>
          </w:tcPr>
          <w:p w14:paraId="65DB2FD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0.56‰</w:t>
            </w:r>
          </w:p>
        </w:tc>
        <w:tc>
          <w:tcPr>
            <w:tcW w:w="1385" w:type="dxa"/>
            <w:vAlign w:val="center"/>
          </w:tcPr>
          <w:p w14:paraId="22EA79F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283" w:type="dxa"/>
            <w:vAlign w:val="center"/>
          </w:tcPr>
          <w:p w14:paraId="7CAC128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085" w:type="dxa"/>
            <w:vAlign w:val="center"/>
          </w:tcPr>
          <w:p w14:paraId="28F5922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0.16‰</w:t>
            </w:r>
          </w:p>
        </w:tc>
      </w:tr>
    </w:tbl>
    <w:p w14:paraId="570D9BBD">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（2）招标控制价审核（工程类）：</w:t>
      </w:r>
    </w:p>
    <w:p w14:paraId="68E29DA9">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招标控制价审核（工程类）</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6"/>
        <w:gridCol w:w="995"/>
        <w:gridCol w:w="1297"/>
        <w:gridCol w:w="1169"/>
        <w:gridCol w:w="1167"/>
        <w:gridCol w:w="1017"/>
        <w:gridCol w:w="1169"/>
        <w:gridCol w:w="1064"/>
      </w:tblGrid>
      <w:tr w14:paraId="567A9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106" w:type="dxa"/>
            <w:vAlign w:val="center"/>
          </w:tcPr>
          <w:p w14:paraId="68F60CC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995" w:type="dxa"/>
            <w:vAlign w:val="center"/>
          </w:tcPr>
          <w:p w14:paraId="1677C96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97" w:type="dxa"/>
            <w:vAlign w:val="center"/>
          </w:tcPr>
          <w:p w14:paraId="26CD351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500万元以内(含）</w:t>
            </w:r>
          </w:p>
        </w:tc>
        <w:tc>
          <w:tcPr>
            <w:tcW w:w="1169" w:type="dxa"/>
            <w:vAlign w:val="center"/>
          </w:tcPr>
          <w:p w14:paraId="4C3F5EE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1000万元以内（含）</w:t>
            </w:r>
          </w:p>
        </w:tc>
        <w:tc>
          <w:tcPr>
            <w:tcW w:w="1167" w:type="dxa"/>
            <w:vAlign w:val="center"/>
          </w:tcPr>
          <w:p w14:paraId="0FAD4DD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5000万元以内（含）</w:t>
            </w:r>
          </w:p>
        </w:tc>
        <w:tc>
          <w:tcPr>
            <w:tcW w:w="1017" w:type="dxa"/>
            <w:vAlign w:val="center"/>
          </w:tcPr>
          <w:p w14:paraId="2F5C57E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1亿元以内（含）</w:t>
            </w:r>
          </w:p>
        </w:tc>
        <w:tc>
          <w:tcPr>
            <w:tcW w:w="1169" w:type="dxa"/>
            <w:vAlign w:val="center"/>
          </w:tcPr>
          <w:p w14:paraId="3A6445C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5亿元以内（含）</w:t>
            </w:r>
          </w:p>
        </w:tc>
        <w:tc>
          <w:tcPr>
            <w:tcW w:w="1064" w:type="dxa"/>
            <w:vAlign w:val="center"/>
          </w:tcPr>
          <w:p w14:paraId="72CDC64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5亿元以上</w:t>
            </w:r>
          </w:p>
        </w:tc>
      </w:tr>
      <w:tr w14:paraId="558D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6" w:type="dxa"/>
            <w:vAlign w:val="center"/>
          </w:tcPr>
          <w:p w14:paraId="1360FC6B">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工程预算、招标控制价、投标报价（不含审核工程清单）</w:t>
            </w:r>
            <w:r>
              <w:rPr>
                <w:rFonts w:hint="eastAsia" w:asciiTheme="minorEastAsia" w:hAnsiTheme="minorEastAsia" w:cstheme="minorBidi"/>
                <w:color w:val="auto"/>
                <w:kern w:val="2"/>
                <w:sz w:val="24"/>
                <w:szCs w:val="24"/>
                <w:highlight w:val="none"/>
                <w:lang w:val="en-US" w:eastAsia="zh-CN" w:bidi="ar-SA"/>
              </w:rPr>
              <w:t>审核</w:t>
            </w:r>
          </w:p>
        </w:tc>
        <w:tc>
          <w:tcPr>
            <w:tcW w:w="995" w:type="dxa"/>
            <w:vAlign w:val="center"/>
          </w:tcPr>
          <w:p w14:paraId="79A178DB">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送审建安工程造价</w:t>
            </w:r>
          </w:p>
        </w:tc>
        <w:tc>
          <w:tcPr>
            <w:tcW w:w="1297" w:type="dxa"/>
            <w:vAlign w:val="center"/>
          </w:tcPr>
          <w:p w14:paraId="3AC6A34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w:t>
            </w:r>
          </w:p>
        </w:tc>
        <w:tc>
          <w:tcPr>
            <w:tcW w:w="1169" w:type="dxa"/>
            <w:vAlign w:val="center"/>
          </w:tcPr>
          <w:p w14:paraId="2FC80689">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0.64‰</w:t>
            </w:r>
          </w:p>
        </w:tc>
        <w:tc>
          <w:tcPr>
            <w:tcW w:w="1167" w:type="dxa"/>
            <w:vAlign w:val="center"/>
          </w:tcPr>
          <w:p w14:paraId="46557801">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017" w:type="dxa"/>
            <w:vAlign w:val="center"/>
          </w:tcPr>
          <w:p w14:paraId="5CBD737D">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w:t>
            </w:r>
          </w:p>
        </w:tc>
        <w:tc>
          <w:tcPr>
            <w:tcW w:w="1169" w:type="dxa"/>
            <w:vAlign w:val="center"/>
          </w:tcPr>
          <w:p w14:paraId="7B2B9C0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064" w:type="dxa"/>
            <w:vAlign w:val="center"/>
          </w:tcPr>
          <w:p w14:paraId="637810E1">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0.24‰</w:t>
            </w:r>
          </w:p>
        </w:tc>
      </w:tr>
    </w:tbl>
    <w:p w14:paraId="44CB58A4">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（3）招标控制价审核（货物服务类）：</w:t>
      </w:r>
    </w:p>
    <w:p w14:paraId="397C5A63">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招标控制价审核（货物服务类）</w:t>
      </w:r>
      <w:r>
        <w:rPr>
          <w:rFonts w:hint="default" w:asciiTheme="minorEastAsia" w:hAnsiTheme="minorEastAsia" w:eastAsiaTheme="minorEastAsia" w:cstheme="minorBidi"/>
          <w:color w:val="auto"/>
          <w:kern w:val="2"/>
          <w:sz w:val="24"/>
          <w:szCs w:val="24"/>
          <w:highlight w:val="none"/>
          <w:lang w:val="en-US" w:eastAsia="zh-CN" w:bidi="ar-SA"/>
        </w:rPr>
        <w:t>费用原则上</w:t>
      </w:r>
      <w:r>
        <w:rPr>
          <w:rFonts w:hint="eastAsia" w:asciiTheme="minorEastAsia" w:hAnsiTheme="minorEastAsia" w:eastAsiaTheme="minorEastAsia" w:cstheme="minorBidi"/>
          <w:color w:val="auto"/>
          <w:kern w:val="2"/>
          <w:sz w:val="24"/>
          <w:szCs w:val="24"/>
          <w:highlight w:val="none"/>
          <w:lang w:val="en-US" w:eastAsia="zh-CN" w:bidi="ar-SA"/>
        </w:rPr>
        <w:t>参照</w:t>
      </w:r>
      <w:r>
        <w:rPr>
          <w:rFonts w:hint="default" w:asciiTheme="minorEastAsia" w:hAnsiTheme="minorEastAsia" w:eastAsiaTheme="minorEastAsia" w:cstheme="minorBidi"/>
          <w:color w:val="auto"/>
          <w:kern w:val="2"/>
          <w:sz w:val="24"/>
          <w:szCs w:val="24"/>
          <w:highlight w:val="none"/>
          <w:lang w:val="en-US" w:eastAsia="zh-CN" w:bidi="ar-SA"/>
        </w:rPr>
        <w:t>《</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5</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2"/>
        <w:tblpPr w:leftFromText="180" w:rightFromText="180" w:vertAnchor="text" w:horzAnchor="page" w:tblpX="954" w:tblpY="167"/>
        <w:tblOverlap w:val="never"/>
        <w:tblW w:w="101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6"/>
        <w:gridCol w:w="1416"/>
        <w:gridCol w:w="1210"/>
        <w:gridCol w:w="1194"/>
        <w:gridCol w:w="1209"/>
        <w:gridCol w:w="1081"/>
        <w:gridCol w:w="1226"/>
        <w:gridCol w:w="1032"/>
      </w:tblGrid>
      <w:tr w14:paraId="54039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0081893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416" w:type="dxa"/>
            <w:tcBorders>
              <w:top w:val="single" w:color="000000" w:sz="4" w:space="0"/>
              <w:left w:val="single" w:color="000000" w:sz="4" w:space="0"/>
              <w:bottom w:val="single" w:color="000000" w:sz="4" w:space="0"/>
              <w:right w:val="single" w:color="000000" w:sz="4" w:space="0"/>
            </w:tcBorders>
            <w:vAlign w:val="center"/>
          </w:tcPr>
          <w:p w14:paraId="0F62C75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10" w:type="dxa"/>
            <w:tcBorders>
              <w:top w:val="single" w:color="000000" w:sz="4" w:space="0"/>
              <w:left w:val="single" w:color="000000" w:sz="4" w:space="0"/>
              <w:bottom w:val="single" w:color="000000" w:sz="4" w:space="0"/>
              <w:right w:val="single" w:color="000000" w:sz="4" w:space="0"/>
            </w:tcBorders>
          </w:tcPr>
          <w:p w14:paraId="7CA1F58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w:t>
            </w:r>
          </w:p>
        </w:tc>
        <w:tc>
          <w:tcPr>
            <w:tcW w:w="1194" w:type="dxa"/>
            <w:tcBorders>
              <w:top w:val="single" w:color="000000" w:sz="4" w:space="0"/>
              <w:left w:val="single" w:color="000000" w:sz="4" w:space="0"/>
              <w:bottom w:val="single" w:color="000000" w:sz="4" w:space="0"/>
              <w:right w:val="single" w:color="000000" w:sz="4" w:space="0"/>
            </w:tcBorders>
          </w:tcPr>
          <w:p w14:paraId="6778688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≤300</w:t>
            </w:r>
          </w:p>
          <w:p w14:paraId="6584DE5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209" w:type="dxa"/>
            <w:tcBorders>
              <w:top w:val="single" w:color="000000" w:sz="4" w:space="0"/>
              <w:left w:val="single" w:color="000000" w:sz="4" w:space="0"/>
              <w:bottom w:val="single" w:color="000000" w:sz="4" w:space="0"/>
              <w:right w:val="single" w:color="000000" w:sz="4" w:space="0"/>
            </w:tcBorders>
          </w:tcPr>
          <w:p w14:paraId="26A7748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p>
          <w:p w14:paraId="3F9B2E6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081" w:type="dxa"/>
            <w:tcBorders>
              <w:top w:val="single" w:color="000000" w:sz="4" w:space="0"/>
              <w:left w:val="single" w:color="000000" w:sz="4" w:space="0"/>
              <w:bottom w:val="single" w:color="000000" w:sz="4" w:space="0"/>
              <w:right w:val="single" w:color="000000" w:sz="4" w:space="0"/>
            </w:tcBorders>
          </w:tcPr>
          <w:p w14:paraId="604CAA1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w:t>
            </w:r>
          </w:p>
        </w:tc>
        <w:tc>
          <w:tcPr>
            <w:tcW w:w="1226" w:type="dxa"/>
            <w:tcBorders>
              <w:top w:val="single" w:color="000000" w:sz="4" w:space="0"/>
              <w:left w:val="single" w:color="000000" w:sz="4" w:space="0"/>
              <w:bottom w:val="single" w:color="000000" w:sz="4" w:space="0"/>
              <w:right w:val="single" w:color="000000" w:sz="4" w:space="0"/>
            </w:tcBorders>
          </w:tcPr>
          <w:p w14:paraId="43E32222">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w:t>
            </w:r>
          </w:p>
        </w:tc>
        <w:tc>
          <w:tcPr>
            <w:tcW w:w="1032" w:type="dxa"/>
            <w:tcBorders>
              <w:top w:val="single" w:color="000000" w:sz="4" w:space="0"/>
              <w:left w:val="single" w:color="000000" w:sz="4" w:space="0"/>
              <w:bottom w:val="single" w:color="000000" w:sz="4" w:space="0"/>
              <w:right w:val="single" w:color="000000" w:sz="4" w:space="0"/>
            </w:tcBorders>
          </w:tcPr>
          <w:p w14:paraId="582B57C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&gt;5000万元</w:t>
            </w:r>
          </w:p>
        </w:tc>
      </w:tr>
      <w:tr w14:paraId="2B6A0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503114C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招标控制价审核</w:t>
            </w:r>
          </w:p>
        </w:tc>
        <w:tc>
          <w:tcPr>
            <w:tcW w:w="1416" w:type="dxa"/>
            <w:tcBorders>
              <w:top w:val="single" w:color="000000" w:sz="4" w:space="0"/>
              <w:left w:val="single" w:color="000000" w:sz="4" w:space="0"/>
              <w:bottom w:val="single" w:color="000000" w:sz="4" w:space="0"/>
              <w:right w:val="single" w:color="000000" w:sz="4" w:space="0"/>
            </w:tcBorders>
            <w:vAlign w:val="center"/>
          </w:tcPr>
          <w:p w14:paraId="0F8E35C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送审标底价</w:t>
            </w:r>
          </w:p>
        </w:tc>
        <w:tc>
          <w:tcPr>
            <w:tcW w:w="1210" w:type="dxa"/>
            <w:tcBorders>
              <w:top w:val="single" w:color="000000" w:sz="4" w:space="0"/>
              <w:left w:val="single" w:color="000000" w:sz="4" w:space="0"/>
              <w:bottom w:val="single" w:color="000000" w:sz="4" w:space="0"/>
              <w:right w:val="single" w:color="000000" w:sz="4" w:space="0"/>
            </w:tcBorders>
            <w:vAlign w:val="center"/>
          </w:tcPr>
          <w:p w14:paraId="76F8FB10">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1.35‰</w:t>
            </w:r>
          </w:p>
        </w:tc>
        <w:tc>
          <w:tcPr>
            <w:tcW w:w="1194" w:type="dxa"/>
            <w:tcBorders>
              <w:top w:val="single" w:color="000000" w:sz="4" w:space="0"/>
              <w:left w:val="single" w:color="000000" w:sz="4" w:space="0"/>
              <w:bottom w:val="single" w:color="000000" w:sz="4" w:space="0"/>
              <w:right w:val="single" w:color="000000" w:sz="4" w:space="0"/>
            </w:tcBorders>
            <w:vAlign w:val="center"/>
          </w:tcPr>
          <w:p w14:paraId="55B2E813">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1.2‰</w:t>
            </w:r>
          </w:p>
        </w:tc>
        <w:tc>
          <w:tcPr>
            <w:tcW w:w="1209" w:type="dxa"/>
            <w:tcBorders>
              <w:top w:val="single" w:color="000000" w:sz="4" w:space="0"/>
              <w:left w:val="single" w:color="000000" w:sz="4" w:space="0"/>
              <w:bottom w:val="single" w:color="000000" w:sz="4" w:space="0"/>
              <w:right w:val="single" w:color="000000" w:sz="4" w:space="0"/>
            </w:tcBorders>
            <w:vAlign w:val="center"/>
          </w:tcPr>
          <w:p w14:paraId="7F822582">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1.05‰</w:t>
            </w:r>
          </w:p>
        </w:tc>
        <w:tc>
          <w:tcPr>
            <w:tcW w:w="1081" w:type="dxa"/>
            <w:tcBorders>
              <w:top w:val="single" w:color="000000" w:sz="4" w:space="0"/>
              <w:left w:val="single" w:color="000000" w:sz="4" w:space="0"/>
              <w:bottom w:val="single" w:color="000000" w:sz="4" w:space="0"/>
              <w:right w:val="single" w:color="000000" w:sz="4" w:space="0"/>
            </w:tcBorders>
            <w:vAlign w:val="center"/>
          </w:tcPr>
          <w:p w14:paraId="52F6DF8D">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0.85‰</w:t>
            </w:r>
          </w:p>
        </w:tc>
        <w:tc>
          <w:tcPr>
            <w:tcW w:w="1226" w:type="dxa"/>
            <w:tcBorders>
              <w:top w:val="single" w:color="000000" w:sz="4" w:space="0"/>
              <w:left w:val="single" w:color="000000" w:sz="4" w:space="0"/>
              <w:bottom w:val="single" w:color="000000" w:sz="4" w:space="0"/>
              <w:right w:val="single" w:color="000000" w:sz="4" w:space="0"/>
            </w:tcBorders>
            <w:vAlign w:val="center"/>
          </w:tcPr>
          <w:p w14:paraId="6FA68715">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w:t>
            </w:r>
          </w:p>
        </w:tc>
        <w:tc>
          <w:tcPr>
            <w:tcW w:w="1032" w:type="dxa"/>
            <w:tcBorders>
              <w:top w:val="single" w:color="000000" w:sz="4" w:space="0"/>
              <w:left w:val="single" w:color="000000" w:sz="4" w:space="0"/>
              <w:bottom w:val="single" w:color="000000" w:sz="4" w:space="0"/>
              <w:right w:val="single" w:color="000000" w:sz="4" w:space="0"/>
            </w:tcBorders>
            <w:vAlign w:val="center"/>
          </w:tcPr>
          <w:p w14:paraId="3DE1D594">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0.55‰</w:t>
            </w:r>
          </w:p>
        </w:tc>
      </w:tr>
    </w:tbl>
    <w:p w14:paraId="166E1BE2">
      <w:pPr>
        <w:pStyle w:val="28"/>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以工作日为单位计算报酬的计日工：</w:t>
      </w:r>
    </w:p>
    <w:p w14:paraId="60A3637A">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default" w:asciiTheme="minorEastAsia" w:hAnsiTheme="minorEastAsia" w:eastAsiaTheme="minorEastAsia" w:cstheme="minorBidi"/>
          <w:color w:val="auto"/>
          <w:kern w:val="2"/>
          <w:sz w:val="24"/>
          <w:szCs w:val="24"/>
          <w:highlight w:val="none"/>
          <w:lang w:val="en-US" w:eastAsia="zh-CN" w:bidi="ar-SA"/>
        </w:rPr>
        <w:t>参照</w:t>
      </w:r>
      <w:r>
        <w:rPr>
          <w:rFonts w:hint="eastAsia" w:asciiTheme="minorEastAsia" w:hAnsiTheme="minorEastAsia" w:eastAsiaTheme="minorEastAsia" w:cstheme="minorBidi"/>
          <w:color w:val="auto"/>
          <w:kern w:val="2"/>
          <w:sz w:val="24"/>
          <w:szCs w:val="24"/>
          <w:highlight w:val="none"/>
          <w:lang w:val="en-US" w:eastAsia="zh-CN" w:bidi="ar-SA"/>
        </w:rPr>
        <w:t>《关于</w:t>
      </w:r>
      <w:r>
        <w:rPr>
          <w:rFonts w:hint="default" w:asciiTheme="minorEastAsia" w:hAnsiTheme="minorEastAsia" w:eastAsiaTheme="minorEastAsia" w:cstheme="minorBidi"/>
          <w:color w:val="auto"/>
          <w:kern w:val="2"/>
          <w:sz w:val="24"/>
          <w:szCs w:val="24"/>
          <w:highlight w:val="none"/>
          <w:lang w:val="en-US" w:eastAsia="zh-CN" w:bidi="ar-SA"/>
        </w:rPr>
        <w:t>2022-2023</w:t>
      </w:r>
      <w:r>
        <w:rPr>
          <w:rFonts w:hint="eastAsia" w:asciiTheme="minorEastAsia" w:hAnsiTheme="minorEastAsia" w:eastAsiaTheme="minorEastAsia" w:cstheme="minorBidi"/>
          <w:color w:val="auto"/>
          <w:kern w:val="2"/>
          <w:sz w:val="24"/>
          <w:szCs w:val="24"/>
          <w:highlight w:val="none"/>
          <w:lang w:val="en-US" w:eastAsia="zh-CN" w:bidi="ar-SA"/>
        </w:rPr>
        <w:t>年度市行政事业单位审计服务—工程造价审计定点采购的通知》（锡详见财购〔2022〕8号）规定的计日工标准的</w:t>
      </w:r>
      <w:r>
        <w:rPr>
          <w:rFonts w:hint="eastAsia" w:asciiTheme="minorEastAsia" w:hAnsiTheme="minorEastAsia" w:eastAsiaTheme="minorEastAsia" w:cstheme="minorBidi"/>
          <w:color w:val="auto"/>
          <w:kern w:val="2"/>
          <w:sz w:val="24"/>
          <w:szCs w:val="24"/>
          <w:highlight w:val="none"/>
          <w:u w:val="single"/>
          <w:lang w:val="en-US" w:eastAsia="zh-CN" w:bidi="ar-SA"/>
        </w:rPr>
        <w:t xml:space="preserve"> 70% </w:t>
      </w:r>
      <w:r>
        <w:rPr>
          <w:rFonts w:hint="eastAsia" w:asciiTheme="minorEastAsia" w:hAnsiTheme="minorEastAsia" w:eastAsiaTheme="minorEastAsia" w:cstheme="minorBidi"/>
          <w:color w:val="auto"/>
          <w:kern w:val="2"/>
          <w:sz w:val="24"/>
          <w:szCs w:val="24"/>
          <w:highlight w:val="none"/>
          <w:lang w:val="en-US" w:eastAsia="zh-CN" w:bidi="ar-SA"/>
        </w:rPr>
        <w:t>计取，具体费用如下：注册造价工程师1200元/人·天（含税）；一般工程协审人员600元/人·天（含税）。</w:t>
      </w:r>
    </w:p>
    <w:p w14:paraId="315C8236">
      <w:pPr>
        <w:spacing w:before="156" w:beforeLines="50" w:after="156" w:afterLines="50" w:line="360" w:lineRule="auto"/>
        <w:ind w:left="420" w:leftChars="200"/>
        <w:rPr>
          <w:rFonts w:hint="eastAsia" w:ascii="宋体" w:hAnsi="宋体"/>
          <w:b/>
          <w:bCs/>
          <w:color w:val="auto"/>
          <w:sz w:val="24"/>
          <w:szCs w:val="24"/>
          <w:highlight w:val="none"/>
        </w:rPr>
      </w:pPr>
      <w:r>
        <w:rPr>
          <w:rFonts w:hint="eastAsia" w:ascii="宋体" w:hAnsi="宋体"/>
          <w:b/>
          <w:bCs/>
          <w:color w:val="auto"/>
          <w:sz w:val="24"/>
          <w:szCs w:val="24"/>
          <w:highlight w:val="none"/>
          <w:lang w:val="en-US" w:eastAsia="zh-CN"/>
        </w:rPr>
        <w:t>四</w:t>
      </w:r>
      <w:r>
        <w:rPr>
          <w:rFonts w:hint="eastAsia" w:ascii="宋体" w:hAnsi="宋体"/>
          <w:b/>
          <w:bCs/>
          <w:color w:val="auto"/>
          <w:sz w:val="24"/>
          <w:szCs w:val="24"/>
          <w:highlight w:val="none"/>
        </w:rPr>
        <w:t>、实质性要求</w:t>
      </w:r>
    </w:p>
    <w:p w14:paraId="766A8085">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本</w:t>
      </w:r>
      <w:r>
        <w:rPr>
          <w:rFonts w:hint="eastAsia" w:ascii="宋体" w:hAnsi="宋体"/>
          <w:color w:val="auto"/>
          <w:sz w:val="24"/>
          <w:highlight w:val="none"/>
        </w:rPr>
        <w:t>章</w:t>
      </w:r>
      <w:r>
        <w:rPr>
          <w:rFonts w:hint="eastAsia" w:ascii="宋体" w:hAnsi="宋体"/>
          <w:color w:val="auto"/>
          <w:sz w:val="24"/>
          <w:szCs w:val="24"/>
          <w:highlight w:val="none"/>
        </w:rPr>
        <w:t>有关服务与商务条款的要求为基准要求，如</w:t>
      </w:r>
      <w:r>
        <w:rPr>
          <w:rFonts w:hint="eastAsia" w:ascii="宋体" w:hAnsi="宋体"/>
          <w:color w:val="auto"/>
          <w:sz w:val="24"/>
          <w:szCs w:val="24"/>
          <w:highlight w:val="none"/>
          <w:lang w:eastAsia="zh-CN"/>
        </w:rPr>
        <w:t>供应商</w:t>
      </w:r>
      <w:r>
        <w:rPr>
          <w:rFonts w:hint="eastAsia" w:ascii="宋体" w:hAnsi="宋体"/>
          <w:color w:val="auto"/>
          <w:sz w:val="24"/>
          <w:szCs w:val="24"/>
          <w:highlight w:val="none"/>
        </w:rPr>
        <w:t>不能完全符合此基准要求，可高于此基准要求进行投标，</w:t>
      </w:r>
      <w:r>
        <w:rPr>
          <w:rFonts w:hint="eastAsia" w:ascii="宋体" w:hAnsi="宋体"/>
          <w:color w:val="auto"/>
          <w:sz w:val="24"/>
          <w:szCs w:val="24"/>
          <w:highlight w:val="none"/>
          <w:lang w:eastAsia="zh-CN"/>
        </w:rPr>
        <w:t>征集人</w:t>
      </w:r>
      <w:r>
        <w:rPr>
          <w:rFonts w:hint="eastAsia" w:ascii="宋体" w:hAnsi="宋体"/>
          <w:color w:val="auto"/>
          <w:sz w:val="24"/>
          <w:szCs w:val="24"/>
          <w:highlight w:val="none"/>
        </w:rPr>
        <w:t>将不接受低于该基准要求（负偏离）的投标，</w:t>
      </w:r>
      <w:r>
        <w:rPr>
          <w:rFonts w:hint="eastAsia" w:ascii="宋体" w:hAnsi="宋体"/>
          <w:color w:val="auto"/>
          <w:sz w:val="24"/>
          <w:szCs w:val="24"/>
          <w:highlight w:val="none"/>
          <w:lang w:eastAsia="zh-CN"/>
        </w:rPr>
        <w:t>供应商</w:t>
      </w:r>
      <w:r>
        <w:rPr>
          <w:rFonts w:hint="eastAsia" w:ascii="宋体" w:hAnsi="宋体"/>
          <w:color w:val="auto"/>
          <w:sz w:val="24"/>
          <w:szCs w:val="24"/>
          <w:highlight w:val="none"/>
        </w:rPr>
        <w:t>需对此基准要求作实质性响应。</w:t>
      </w:r>
    </w:p>
    <w:p w14:paraId="71D9546C">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1.服务地点：</w:t>
      </w:r>
      <w:r>
        <w:rPr>
          <w:rFonts w:hint="eastAsia" w:ascii="宋体" w:hAnsi="宋体"/>
          <w:color w:val="auto"/>
          <w:sz w:val="24"/>
          <w:szCs w:val="24"/>
          <w:highlight w:val="none"/>
          <w:lang w:eastAsia="zh-CN"/>
        </w:rPr>
        <w:t>征集人</w:t>
      </w:r>
      <w:r>
        <w:rPr>
          <w:rFonts w:hint="eastAsia" w:ascii="宋体" w:hAnsi="宋体"/>
          <w:color w:val="auto"/>
          <w:sz w:val="24"/>
          <w:szCs w:val="24"/>
          <w:highlight w:val="none"/>
        </w:rPr>
        <w:t>指定地点。</w:t>
      </w:r>
    </w:p>
    <w:p w14:paraId="1B933A9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宋体" w:hAnsi="宋体"/>
          <w:color w:val="auto"/>
          <w:sz w:val="24"/>
          <w:szCs w:val="24"/>
          <w:highlight w:val="none"/>
        </w:rPr>
        <w:t>2.验收方式：</w:t>
      </w:r>
      <w:r>
        <w:rPr>
          <w:rFonts w:hint="eastAsia" w:asciiTheme="minorEastAsia" w:hAnsiTheme="minorEastAsia"/>
          <w:color w:val="auto"/>
          <w:sz w:val="24"/>
          <w:szCs w:val="24"/>
          <w:highlight w:val="none"/>
          <w:lang w:val="en-US" w:eastAsia="zh-CN"/>
        </w:rPr>
        <w:t>征集人根据国家有关规定、征集文件、响应文件以及合同约定的内容组织验收，具体验收办法详见《宜兴市政府采购项目履约验收管理办法》（宜财采〔2023〕3号）</w:t>
      </w:r>
    </w:p>
    <w:p w14:paraId="75E37947">
      <w:pPr>
        <w:spacing w:line="360" w:lineRule="auto"/>
        <w:rPr>
          <w:rFonts w:ascii="宋体"/>
          <w:color w:val="auto"/>
          <w:sz w:val="24"/>
          <w:szCs w:val="24"/>
          <w:highlight w:val="none"/>
        </w:rPr>
      </w:pPr>
    </w:p>
    <w:p w14:paraId="592A36CC">
      <w:pPr>
        <w:pStyle w:val="28"/>
        <w:keepNext w:val="0"/>
        <w:keepLines w:val="0"/>
        <w:pageBreakBefore/>
        <w:widowControl w:val="0"/>
        <w:kinsoku/>
        <w:wordWrap/>
        <w:overflowPunct/>
        <w:topLinePunct w:val="0"/>
        <w:autoSpaceDE/>
        <w:autoSpaceDN/>
        <w:bidi w:val="0"/>
        <w:adjustRightInd/>
        <w:snapToGrid/>
        <w:jc w:val="center"/>
        <w:textAlignment w:val="auto"/>
        <w:rPr>
          <w:rFonts w:hint="default" w:ascii="宋体" w:hAnsi="宋体" w:eastAsia="宋体"/>
          <w:b/>
          <w:bCs/>
          <w:color w:val="auto"/>
          <w:sz w:val="24"/>
          <w:szCs w:val="24"/>
          <w:highlight w:val="none"/>
          <w:lang w:val="en-US" w:eastAsia="zh-CN"/>
        </w:rPr>
      </w:pPr>
      <w:r>
        <w:rPr>
          <w:rFonts w:hint="eastAsia" w:ascii="宋体" w:hAnsi="宋体"/>
          <w:b/>
          <w:bCs/>
          <w:color w:val="auto"/>
          <w:sz w:val="24"/>
          <w:szCs w:val="24"/>
          <w:highlight w:val="none"/>
          <w:lang w:val="en-US" w:eastAsia="zh-CN"/>
        </w:rPr>
        <w:t>考核标准</w:t>
      </w:r>
    </w:p>
    <w:p w14:paraId="1199242D">
      <w:pPr>
        <w:pStyle w:val="28"/>
        <w:rPr>
          <w:rFonts w:hint="eastAsia" w:ascii="宋体" w:hAnsi="宋体"/>
          <w:b/>
          <w:bCs/>
          <w:color w:val="auto"/>
          <w:sz w:val="24"/>
          <w:szCs w:val="24"/>
          <w:highlight w:val="none"/>
        </w:rPr>
      </w:pPr>
    </w:p>
    <w:tbl>
      <w:tblPr>
        <w:tblStyle w:val="22"/>
        <w:tblpPr w:leftFromText="180" w:rightFromText="180" w:horzAnchor="margin" w:tblpY="630"/>
        <w:tblW w:w="9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576"/>
        <w:gridCol w:w="975"/>
        <w:gridCol w:w="440"/>
        <w:gridCol w:w="5236"/>
        <w:gridCol w:w="966"/>
        <w:gridCol w:w="1120"/>
      </w:tblGrid>
      <w:tr w14:paraId="6CF36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36" w:type="dxa"/>
            <w:shd w:val="clear" w:color="auto" w:fill="auto"/>
            <w:vAlign w:val="center"/>
          </w:tcPr>
          <w:p w14:paraId="5522E80C">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序号</w:t>
            </w:r>
          </w:p>
        </w:tc>
        <w:tc>
          <w:tcPr>
            <w:tcW w:w="1551" w:type="dxa"/>
            <w:gridSpan w:val="2"/>
            <w:shd w:val="clear" w:color="auto" w:fill="auto"/>
            <w:vAlign w:val="center"/>
          </w:tcPr>
          <w:p w14:paraId="737191E1">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考核项目</w:t>
            </w:r>
          </w:p>
        </w:tc>
        <w:tc>
          <w:tcPr>
            <w:tcW w:w="440" w:type="dxa"/>
            <w:shd w:val="clear" w:color="auto" w:fill="auto"/>
            <w:vAlign w:val="center"/>
          </w:tcPr>
          <w:p w14:paraId="6662F399">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满分</w:t>
            </w:r>
          </w:p>
        </w:tc>
        <w:tc>
          <w:tcPr>
            <w:tcW w:w="5236" w:type="dxa"/>
            <w:shd w:val="clear" w:color="auto" w:fill="auto"/>
            <w:vAlign w:val="center"/>
          </w:tcPr>
          <w:p w14:paraId="13429FDC">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考核要点</w:t>
            </w:r>
          </w:p>
        </w:tc>
        <w:tc>
          <w:tcPr>
            <w:tcW w:w="966" w:type="dxa"/>
            <w:shd w:val="clear" w:color="auto" w:fill="auto"/>
            <w:vAlign w:val="center"/>
          </w:tcPr>
          <w:p w14:paraId="053D93A0">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扣分</w:t>
            </w:r>
          </w:p>
        </w:tc>
        <w:tc>
          <w:tcPr>
            <w:tcW w:w="1120" w:type="dxa"/>
            <w:shd w:val="clear" w:color="auto" w:fill="auto"/>
            <w:vAlign w:val="center"/>
          </w:tcPr>
          <w:p w14:paraId="0D4796E5">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考核情况</w:t>
            </w:r>
          </w:p>
          <w:p w14:paraId="1D94245A">
            <w:pPr>
              <w:widowControl/>
              <w:snapToGrid w:val="0"/>
              <w:jc w:val="center"/>
              <w:rPr>
                <w:rFonts w:hint="eastAsia" w:ascii="方正黑体_GBK" w:hAnsi="方正黑体_GBK" w:eastAsia="方正黑体_GBK" w:cs="方正黑体_GBK"/>
                <w:b w:val="0"/>
                <w:bCs w:val="0"/>
                <w:color w:val="auto"/>
                <w:sz w:val="21"/>
                <w:szCs w:val="21"/>
                <w:highlight w:val="none"/>
              </w:rPr>
            </w:pPr>
            <w:r>
              <w:rPr>
                <w:rFonts w:hint="eastAsia" w:ascii="方正黑体_GBK" w:hAnsi="方正黑体_GBK" w:eastAsia="方正黑体_GBK" w:cs="方正黑体_GBK"/>
                <w:b w:val="0"/>
                <w:bCs w:val="0"/>
                <w:color w:val="auto"/>
                <w:sz w:val="21"/>
                <w:szCs w:val="21"/>
                <w:highlight w:val="none"/>
              </w:rPr>
              <w:t>简要说明</w:t>
            </w:r>
          </w:p>
        </w:tc>
      </w:tr>
      <w:tr w14:paraId="1A80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36" w:type="dxa"/>
            <w:vMerge w:val="restart"/>
            <w:shd w:val="clear" w:color="auto" w:fill="auto"/>
            <w:vAlign w:val="center"/>
          </w:tcPr>
          <w:p w14:paraId="65EF8148">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1</w:t>
            </w:r>
          </w:p>
        </w:tc>
        <w:tc>
          <w:tcPr>
            <w:tcW w:w="576" w:type="dxa"/>
            <w:vMerge w:val="restart"/>
            <w:shd w:val="clear" w:color="auto" w:fill="auto"/>
            <w:vAlign w:val="center"/>
          </w:tcPr>
          <w:p w14:paraId="1DD6C349">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专业配备(1</w:t>
            </w:r>
            <w:r>
              <w:rPr>
                <w:rFonts w:hint="eastAsia" w:ascii="Times New Roman" w:hAnsi="Times New Roman" w:eastAsia="方正楷体_GBK" w:cs="Times New Roman"/>
                <w:color w:val="auto"/>
                <w:sz w:val="18"/>
                <w:szCs w:val="18"/>
                <w:highlight w:val="none"/>
                <w:lang w:val="en-US" w:eastAsia="zh-CN"/>
              </w:rPr>
              <w:t>7</w:t>
            </w:r>
            <w:r>
              <w:rPr>
                <w:rFonts w:hint="default" w:ascii="Times New Roman" w:hAnsi="Times New Roman" w:eastAsia="方正楷体_GBK" w:cs="Times New Roman"/>
                <w:color w:val="auto"/>
                <w:sz w:val="18"/>
                <w:szCs w:val="18"/>
                <w:highlight w:val="none"/>
              </w:rPr>
              <w:t>分)</w:t>
            </w:r>
          </w:p>
        </w:tc>
        <w:tc>
          <w:tcPr>
            <w:tcW w:w="975" w:type="dxa"/>
            <w:shd w:val="clear" w:color="auto" w:fill="auto"/>
            <w:vAlign w:val="center"/>
          </w:tcPr>
          <w:p w14:paraId="48A592B2">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人员组成</w:t>
            </w:r>
          </w:p>
        </w:tc>
        <w:tc>
          <w:tcPr>
            <w:tcW w:w="440" w:type="dxa"/>
            <w:shd w:val="clear" w:color="auto" w:fill="auto"/>
            <w:vAlign w:val="center"/>
          </w:tcPr>
          <w:p w14:paraId="7209E180">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auto"/>
                <w:sz w:val="18"/>
                <w:szCs w:val="18"/>
                <w:highlight w:val="none"/>
                <w:lang w:val="en-US" w:eastAsia="zh-CN"/>
              </w:rPr>
              <w:t>8</w:t>
            </w:r>
          </w:p>
        </w:tc>
        <w:tc>
          <w:tcPr>
            <w:tcW w:w="5236" w:type="dxa"/>
            <w:shd w:val="clear" w:color="auto" w:fill="auto"/>
            <w:vAlign w:val="center"/>
          </w:tcPr>
          <w:p w14:paraId="59CAB63F">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未在接受委托后1个工作日内提交主审人员名单、领取审核资料的，扣</w:t>
            </w:r>
            <w:r>
              <w:rPr>
                <w:rFonts w:hint="eastAsia" w:ascii="Times New Roman" w:hAnsi="Times New Roman" w:eastAsia="方正仿宋_GBK" w:cs="Times New Roman"/>
                <w:color w:val="auto"/>
                <w:sz w:val="18"/>
                <w:szCs w:val="18"/>
                <w:highlight w:val="none"/>
                <w:lang w:val="en-US" w:eastAsia="zh-CN"/>
              </w:rPr>
              <w:t>2</w:t>
            </w:r>
            <w:r>
              <w:rPr>
                <w:rFonts w:hint="default" w:ascii="Times New Roman" w:hAnsi="Times New Roman" w:eastAsia="方正仿宋_GBK" w:cs="Times New Roman"/>
                <w:color w:val="auto"/>
                <w:sz w:val="18"/>
                <w:szCs w:val="18"/>
                <w:highlight w:val="none"/>
              </w:rPr>
              <w:t>分；负责工程类项目的主审人员不具备一级注册造价师资格的，扣2分；主审人员专业资格与项目主体专业不匹配的，扣2分；除主审人员外，协审机构未根据项目情况配备其他相关专业人员的，扣</w:t>
            </w:r>
            <w:r>
              <w:rPr>
                <w:rFonts w:hint="eastAsia" w:ascii="Times New Roman" w:hAnsi="Times New Roman" w:eastAsia="方正仿宋_GBK" w:cs="Times New Roman"/>
                <w:color w:val="auto"/>
                <w:sz w:val="18"/>
                <w:szCs w:val="18"/>
                <w:highlight w:val="none"/>
                <w:lang w:val="en-US" w:eastAsia="zh-CN"/>
              </w:rPr>
              <w:t>2</w:t>
            </w:r>
            <w:r>
              <w:rPr>
                <w:rFonts w:hint="default" w:ascii="Times New Roman" w:hAnsi="Times New Roman" w:eastAsia="方正仿宋_GBK" w:cs="Times New Roman"/>
                <w:color w:val="auto"/>
                <w:sz w:val="18"/>
                <w:szCs w:val="18"/>
                <w:highlight w:val="none"/>
              </w:rPr>
              <w:t>分。</w:t>
            </w:r>
          </w:p>
        </w:tc>
        <w:tc>
          <w:tcPr>
            <w:tcW w:w="966" w:type="dxa"/>
            <w:shd w:val="clear" w:color="auto" w:fill="auto"/>
            <w:vAlign w:val="center"/>
          </w:tcPr>
          <w:p w14:paraId="38F56AD7">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722217D9">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524B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636" w:type="dxa"/>
            <w:vMerge w:val="continue"/>
            <w:vAlign w:val="center"/>
          </w:tcPr>
          <w:p w14:paraId="03FB0EB1">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576" w:type="dxa"/>
            <w:vMerge w:val="continue"/>
            <w:vAlign w:val="center"/>
          </w:tcPr>
          <w:p w14:paraId="5AC87652">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975" w:type="dxa"/>
            <w:shd w:val="clear" w:color="auto" w:fill="auto"/>
            <w:vAlign w:val="center"/>
          </w:tcPr>
          <w:p w14:paraId="470D914A">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方正楷体_GBK" w:hAnsi="方正楷体_GBK" w:eastAsia="方正楷体_GBK" w:cs="方正楷体_GBK"/>
                <w:color w:val="auto"/>
                <w:sz w:val="18"/>
                <w:szCs w:val="18"/>
                <w:highlight w:val="none"/>
                <w:lang w:val="en-US" w:eastAsia="zh-CN"/>
              </w:rPr>
            </w:pPr>
            <w:r>
              <w:rPr>
                <w:rFonts w:hint="eastAsia" w:ascii="方正楷体_GBK" w:hAnsi="方正楷体_GBK" w:eastAsia="方正楷体_GBK" w:cs="方正楷体_GBK"/>
                <w:color w:val="auto"/>
                <w:sz w:val="18"/>
                <w:szCs w:val="18"/>
                <w:highlight w:val="none"/>
                <w:lang w:val="en-US" w:eastAsia="zh-CN"/>
              </w:rPr>
              <w:t>人员驻场</w:t>
            </w:r>
          </w:p>
        </w:tc>
        <w:tc>
          <w:tcPr>
            <w:tcW w:w="440" w:type="dxa"/>
            <w:shd w:val="clear" w:color="auto" w:fill="auto"/>
            <w:vAlign w:val="center"/>
          </w:tcPr>
          <w:p w14:paraId="54727771">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auto"/>
                <w:sz w:val="18"/>
                <w:szCs w:val="18"/>
                <w:highlight w:val="none"/>
                <w:lang w:val="en-US" w:eastAsia="zh-CN"/>
              </w:rPr>
              <w:t>2</w:t>
            </w:r>
          </w:p>
        </w:tc>
        <w:tc>
          <w:tcPr>
            <w:tcW w:w="5236" w:type="dxa"/>
            <w:shd w:val="clear" w:color="auto" w:fill="auto"/>
            <w:vAlign w:val="center"/>
          </w:tcPr>
          <w:p w14:paraId="794184AD">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服务期间，协审人员不按规定常驻宜兴的，扣2分</w:t>
            </w:r>
          </w:p>
        </w:tc>
        <w:tc>
          <w:tcPr>
            <w:tcW w:w="966" w:type="dxa"/>
            <w:shd w:val="clear" w:color="auto" w:fill="auto"/>
            <w:vAlign w:val="center"/>
          </w:tcPr>
          <w:p w14:paraId="6F8B3120">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p>
        </w:tc>
        <w:tc>
          <w:tcPr>
            <w:tcW w:w="1120" w:type="dxa"/>
            <w:shd w:val="clear" w:color="auto" w:fill="auto"/>
            <w:vAlign w:val="center"/>
          </w:tcPr>
          <w:p w14:paraId="577E50AA">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p>
        </w:tc>
      </w:tr>
      <w:tr w14:paraId="0EDDC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36" w:type="dxa"/>
            <w:vMerge w:val="continue"/>
            <w:vAlign w:val="center"/>
          </w:tcPr>
          <w:p w14:paraId="554238F3">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576" w:type="dxa"/>
            <w:vMerge w:val="continue"/>
            <w:vAlign w:val="center"/>
          </w:tcPr>
          <w:p w14:paraId="5EC1A945">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975" w:type="dxa"/>
            <w:shd w:val="clear" w:color="auto" w:fill="auto"/>
            <w:vAlign w:val="center"/>
          </w:tcPr>
          <w:p w14:paraId="737E57EF">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办公设备及 技术支撑</w:t>
            </w:r>
          </w:p>
        </w:tc>
        <w:tc>
          <w:tcPr>
            <w:tcW w:w="440" w:type="dxa"/>
            <w:shd w:val="clear" w:color="auto" w:fill="auto"/>
            <w:vAlign w:val="center"/>
          </w:tcPr>
          <w:p w14:paraId="5F9EC2F1">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lang w:eastAsia="zh-CN"/>
              </w:rPr>
            </w:pPr>
            <w:r>
              <w:rPr>
                <w:rFonts w:hint="eastAsia" w:ascii="Times New Roman" w:hAnsi="Times New Roman" w:eastAsia="方正仿宋_GBK" w:cs="Times New Roman"/>
                <w:color w:val="auto"/>
                <w:sz w:val="18"/>
                <w:szCs w:val="18"/>
                <w:highlight w:val="none"/>
                <w:lang w:val="en-US" w:eastAsia="zh-CN"/>
              </w:rPr>
              <w:t>5</w:t>
            </w:r>
          </w:p>
        </w:tc>
        <w:tc>
          <w:tcPr>
            <w:tcW w:w="5236" w:type="dxa"/>
            <w:shd w:val="clear" w:color="auto" w:fill="auto"/>
            <w:vAlign w:val="center"/>
          </w:tcPr>
          <w:p w14:paraId="526CEA89">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rPr>
              <w:t>未配备必要的办公设备及工程软件的，扣</w:t>
            </w:r>
            <w:r>
              <w:rPr>
                <w:rFonts w:hint="eastAsia" w:ascii="Times New Roman" w:hAnsi="Times New Roman" w:eastAsia="方正仿宋_GBK" w:cs="Times New Roman"/>
                <w:color w:val="auto"/>
                <w:sz w:val="18"/>
                <w:szCs w:val="18"/>
                <w:highlight w:val="none"/>
                <w:lang w:val="en-US" w:eastAsia="zh-CN"/>
              </w:rPr>
              <w:t>2</w:t>
            </w:r>
            <w:r>
              <w:rPr>
                <w:rFonts w:hint="default" w:ascii="Times New Roman" w:hAnsi="Times New Roman" w:eastAsia="方正仿宋_GBK" w:cs="Times New Roman"/>
                <w:color w:val="auto"/>
                <w:sz w:val="18"/>
                <w:szCs w:val="18"/>
                <w:highlight w:val="none"/>
              </w:rPr>
              <w:t>分；针对项目审核过程中出现的特殊情况，不能主动采取措施解决技术需要的，扣</w:t>
            </w:r>
            <w:r>
              <w:rPr>
                <w:rFonts w:hint="eastAsia" w:ascii="Times New Roman" w:hAnsi="Times New Roman" w:eastAsia="方正仿宋_GBK" w:cs="Times New Roman"/>
                <w:color w:val="auto"/>
                <w:sz w:val="18"/>
                <w:szCs w:val="18"/>
                <w:highlight w:val="none"/>
                <w:lang w:val="en-US" w:eastAsia="zh-CN"/>
              </w:rPr>
              <w:t>3</w:t>
            </w:r>
            <w:r>
              <w:rPr>
                <w:rFonts w:hint="default" w:ascii="Times New Roman" w:hAnsi="Times New Roman" w:eastAsia="方正仿宋_GBK" w:cs="Times New Roman"/>
                <w:color w:val="auto"/>
                <w:sz w:val="18"/>
                <w:szCs w:val="18"/>
                <w:highlight w:val="none"/>
              </w:rPr>
              <w:t>分。</w:t>
            </w:r>
          </w:p>
        </w:tc>
        <w:tc>
          <w:tcPr>
            <w:tcW w:w="966" w:type="dxa"/>
            <w:shd w:val="clear" w:color="auto" w:fill="auto"/>
            <w:vAlign w:val="center"/>
          </w:tcPr>
          <w:p w14:paraId="493319EC">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46DB29F5">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1AF6D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36" w:type="dxa"/>
            <w:vMerge w:val="restart"/>
            <w:shd w:val="clear" w:color="auto" w:fill="auto"/>
            <w:vAlign w:val="center"/>
          </w:tcPr>
          <w:p w14:paraId="40FB8660">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2</w:t>
            </w:r>
          </w:p>
        </w:tc>
        <w:tc>
          <w:tcPr>
            <w:tcW w:w="576" w:type="dxa"/>
            <w:vMerge w:val="restart"/>
            <w:shd w:val="clear" w:color="auto" w:fill="auto"/>
            <w:vAlign w:val="center"/>
          </w:tcPr>
          <w:p w14:paraId="018E118B">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审核质量(6</w:t>
            </w:r>
            <w:r>
              <w:rPr>
                <w:rFonts w:hint="default" w:ascii="Times New Roman" w:hAnsi="Times New Roman" w:eastAsia="方正楷体_GBK" w:cs="Times New Roman"/>
                <w:color w:val="auto"/>
                <w:sz w:val="18"/>
                <w:szCs w:val="18"/>
                <w:highlight w:val="none"/>
                <w:lang w:val="en-US" w:eastAsia="zh-CN"/>
              </w:rPr>
              <w:t>5</w:t>
            </w:r>
            <w:r>
              <w:rPr>
                <w:rFonts w:hint="default" w:ascii="Times New Roman" w:hAnsi="Times New Roman" w:eastAsia="方正楷体_GBK" w:cs="Times New Roman"/>
                <w:color w:val="auto"/>
                <w:sz w:val="18"/>
                <w:szCs w:val="18"/>
                <w:highlight w:val="none"/>
              </w:rPr>
              <w:t>分)</w:t>
            </w:r>
          </w:p>
        </w:tc>
        <w:tc>
          <w:tcPr>
            <w:tcW w:w="975" w:type="dxa"/>
            <w:shd w:val="clear" w:color="auto" w:fill="auto"/>
            <w:vAlign w:val="center"/>
          </w:tcPr>
          <w:p w14:paraId="777EB372">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审核质量</w:t>
            </w:r>
          </w:p>
        </w:tc>
        <w:tc>
          <w:tcPr>
            <w:tcW w:w="440" w:type="dxa"/>
            <w:shd w:val="clear" w:color="auto" w:fill="auto"/>
            <w:vAlign w:val="center"/>
          </w:tcPr>
          <w:p w14:paraId="00E8DA6C">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30</w:t>
            </w:r>
          </w:p>
        </w:tc>
        <w:tc>
          <w:tcPr>
            <w:tcW w:w="5236" w:type="dxa"/>
            <w:shd w:val="clear" w:color="auto" w:fill="auto"/>
            <w:vAlign w:val="center"/>
          </w:tcPr>
          <w:p w14:paraId="3A65AAF9">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lang w:eastAsia="zh-CN"/>
              </w:rPr>
            </w:pPr>
            <w:r>
              <w:rPr>
                <w:rFonts w:hint="default" w:ascii="Times New Roman" w:hAnsi="Times New Roman" w:eastAsia="方正仿宋_GBK" w:cs="Times New Roman"/>
                <w:color w:val="auto"/>
                <w:sz w:val="18"/>
                <w:szCs w:val="18"/>
                <w:highlight w:val="none"/>
              </w:rPr>
              <w:t>无相关依据，审核后概算内容与可行性研究或项目建议书批复建设内容不符的，扣10分；审核概算存在缺漏项的，每项扣5分；审核概算</w:t>
            </w:r>
            <w:r>
              <w:rPr>
                <w:rFonts w:hint="default" w:ascii="Times New Roman" w:hAnsi="Times New Roman" w:eastAsia="方正仿宋_GBK" w:cs="Times New Roman"/>
                <w:color w:val="auto"/>
                <w:sz w:val="18"/>
                <w:szCs w:val="18"/>
                <w:highlight w:val="none"/>
                <w:lang w:val="en-US" w:eastAsia="zh-CN"/>
              </w:rPr>
              <w:t>总</w:t>
            </w:r>
            <w:r>
              <w:rPr>
                <w:rFonts w:hint="default" w:ascii="Times New Roman" w:hAnsi="Times New Roman" w:eastAsia="方正仿宋_GBK" w:cs="Times New Roman"/>
                <w:color w:val="auto"/>
                <w:sz w:val="18"/>
                <w:szCs w:val="18"/>
                <w:highlight w:val="none"/>
              </w:rPr>
              <w:t>工程量经</w:t>
            </w:r>
            <w:r>
              <w:rPr>
                <w:rFonts w:hint="eastAsia" w:ascii="Times New Roman" w:hAnsi="Times New Roman" w:eastAsia="方正仿宋_GBK" w:cs="Times New Roman"/>
                <w:color w:val="auto"/>
                <w:sz w:val="18"/>
                <w:szCs w:val="18"/>
                <w:highlight w:val="none"/>
                <w:lang w:eastAsia="zh-CN"/>
              </w:rPr>
              <w:t>征集人</w:t>
            </w:r>
            <w:r>
              <w:rPr>
                <w:rFonts w:hint="default" w:ascii="Times New Roman" w:hAnsi="Times New Roman" w:eastAsia="方正仿宋_GBK" w:cs="Times New Roman"/>
                <w:color w:val="auto"/>
                <w:sz w:val="18"/>
                <w:szCs w:val="18"/>
                <w:highlight w:val="none"/>
              </w:rPr>
              <w:t>内部复核误差率超过5%的，扣</w:t>
            </w:r>
            <w:r>
              <w:rPr>
                <w:rFonts w:hint="default" w:ascii="Times New Roman" w:hAnsi="Times New Roman" w:eastAsia="方正仿宋_GBK" w:cs="Times New Roman"/>
                <w:color w:val="auto"/>
                <w:sz w:val="18"/>
                <w:szCs w:val="18"/>
                <w:highlight w:val="none"/>
                <w:lang w:val="en-US" w:eastAsia="zh-CN"/>
              </w:rPr>
              <w:t>10</w:t>
            </w:r>
            <w:r>
              <w:rPr>
                <w:rFonts w:hint="default" w:ascii="Times New Roman" w:hAnsi="Times New Roman" w:eastAsia="方正仿宋_GBK" w:cs="Times New Roman"/>
                <w:color w:val="auto"/>
                <w:sz w:val="18"/>
                <w:szCs w:val="18"/>
                <w:highlight w:val="none"/>
              </w:rPr>
              <w:t>分；</w:t>
            </w:r>
          </w:p>
        </w:tc>
        <w:tc>
          <w:tcPr>
            <w:tcW w:w="966" w:type="dxa"/>
            <w:shd w:val="clear" w:color="auto" w:fill="auto"/>
            <w:vAlign w:val="center"/>
          </w:tcPr>
          <w:p w14:paraId="5753FAA7">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6AF046DA">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1582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36" w:type="dxa"/>
            <w:vMerge w:val="continue"/>
            <w:vAlign w:val="center"/>
          </w:tcPr>
          <w:p w14:paraId="673D8696">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576" w:type="dxa"/>
            <w:vMerge w:val="continue"/>
            <w:vAlign w:val="center"/>
          </w:tcPr>
          <w:p w14:paraId="52A443F2">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975" w:type="dxa"/>
            <w:shd w:val="clear" w:color="auto" w:fill="auto"/>
            <w:vAlign w:val="center"/>
          </w:tcPr>
          <w:p w14:paraId="143A3331">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审核报告</w:t>
            </w:r>
          </w:p>
        </w:tc>
        <w:tc>
          <w:tcPr>
            <w:tcW w:w="440" w:type="dxa"/>
            <w:shd w:val="clear" w:color="auto" w:fill="auto"/>
            <w:vAlign w:val="center"/>
          </w:tcPr>
          <w:p w14:paraId="22A61F74">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10</w:t>
            </w:r>
          </w:p>
        </w:tc>
        <w:tc>
          <w:tcPr>
            <w:tcW w:w="5236" w:type="dxa"/>
            <w:shd w:val="clear" w:color="auto" w:fill="auto"/>
            <w:vAlign w:val="center"/>
          </w:tcPr>
          <w:p w14:paraId="1A2B532F">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工程类项目报告应包含工程概况、审核依据及原则、审核结果、主要核减内容及原因、主要经济指标分析、合理化建议、项目评价等内容。报告中出现缺漏上述应包含内容的，每项扣2分；经</w:t>
            </w:r>
            <w:r>
              <w:rPr>
                <w:rFonts w:hint="eastAsia" w:ascii="Times New Roman" w:hAnsi="Times New Roman" w:eastAsia="方正仿宋_GBK" w:cs="Times New Roman"/>
                <w:color w:val="auto"/>
                <w:sz w:val="18"/>
                <w:szCs w:val="18"/>
                <w:highlight w:val="none"/>
                <w:lang w:eastAsia="zh-CN"/>
              </w:rPr>
              <w:t>征集人</w:t>
            </w:r>
            <w:r>
              <w:rPr>
                <w:rFonts w:hint="default" w:ascii="Times New Roman" w:hAnsi="Times New Roman" w:eastAsia="方正仿宋_GBK" w:cs="Times New Roman"/>
                <w:color w:val="auto"/>
                <w:sz w:val="18"/>
                <w:szCs w:val="18"/>
                <w:highlight w:val="none"/>
              </w:rPr>
              <w:t>提出修改意见后仍不能编制完整评审报告的，扣5分。</w:t>
            </w:r>
          </w:p>
        </w:tc>
        <w:tc>
          <w:tcPr>
            <w:tcW w:w="966" w:type="dxa"/>
            <w:shd w:val="clear" w:color="auto" w:fill="auto"/>
            <w:vAlign w:val="center"/>
          </w:tcPr>
          <w:p w14:paraId="7EB55E8B">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32EB471E">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1794B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36" w:type="dxa"/>
            <w:vMerge w:val="continue"/>
            <w:vAlign w:val="center"/>
          </w:tcPr>
          <w:p w14:paraId="0120AF23">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576" w:type="dxa"/>
            <w:vMerge w:val="continue"/>
            <w:vAlign w:val="center"/>
          </w:tcPr>
          <w:p w14:paraId="75D536E9">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975" w:type="dxa"/>
            <w:shd w:val="clear" w:color="auto" w:fill="auto"/>
            <w:vAlign w:val="center"/>
          </w:tcPr>
          <w:p w14:paraId="4E9B0541">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投资控制</w:t>
            </w:r>
          </w:p>
        </w:tc>
        <w:tc>
          <w:tcPr>
            <w:tcW w:w="440" w:type="dxa"/>
            <w:shd w:val="clear" w:color="auto" w:fill="auto"/>
            <w:vAlign w:val="center"/>
          </w:tcPr>
          <w:p w14:paraId="4B6455F8">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10</w:t>
            </w:r>
          </w:p>
        </w:tc>
        <w:tc>
          <w:tcPr>
            <w:tcW w:w="5236" w:type="dxa"/>
            <w:shd w:val="clear" w:color="auto" w:fill="auto"/>
            <w:vAlign w:val="center"/>
          </w:tcPr>
          <w:p w14:paraId="56395D82">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无相关依据，审核的概算超可行性研究批复投资或项目建议书投资的，扣5分；未针对项目投资做出分析及合理化建议并反馈</w:t>
            </w:r>
            <w:r>
              <w:rPr>
                <w:rFonts w:hint="eastAsia" w:ascii="Times New Roman" w:hAnsi="Times New Roman" w:eastAsia="方正仿宋_GBK" w:cs="Times New Roman"/>
                <w:color w:val="auto"/>
                <w:sz w:val="18"/>
                <w:szCs w:val="18"/>
                <w:highlight w:val="none"/>
                <w:lang w:eastAsia="zh-CN"/>
              </w:rPr>
              <w:t>征集人</w:t>
            </w:r>
            <w:r>
              <w:rPr>
                <w:rFonts w:hint="default" w:ascii="Times New Roman" w:hAnsi="Times New Roman" w:eastAsia="方正仿宋_GBK" w:cs="Times New Roman"/>
                <w:color w:val="auto"/>
                <w:sz w:val="18"/>
                <w:szCs w:val="18"/>
                <w:highlight w:val="none"/>
              </w:rPr>
              <w:t>的，扣5分。</w:t>
            </w:r>
          </w:p>
        </w:tc>
        <w:tc>
          <w:tcPr>
            <w:tcW w:w="966" w:type="dxa"/>
            <w:shd w:val="clear" w:color="auto" w:fill="auto"/>
            <w:vAlign w:val="center"/>
          </w:tcPr>
          <w:p w14:paraId="337E0C25">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688D3655">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6DAB6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36" w:type="dxa"/>
            <w:vMerge w:val="continue"/>
            <w:vAlign w:val="center"/>
          </w:tcPr>
          <w:p w14:paraId="710D0B66">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576" w:type="dxa"/>
            <w:vMerge w:val="continue"/>
            <w:vAlign w:val="center"/>
          </w:tcPr>
          <w:p w14:paraId="74B0A532">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975" w:type="dxa"/>
            <w:shd w:val="clear" w:color="auto" w:fill="auto"/>
            <w:vAlign w:val="center"/>
          </w:tcPr>
          <w:p w14:paraId="0ED63205">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工作积极性</w:t>
            </w:r>
          </w:p>
        </w:tc>
        <w:tc>
          <w:tcPr>
            <w:tcW w:w="440" w:type="dxa"/>
            <w:shd w:val="clear" w:color="auto" w:fill="auto"/>
            <w:vAlign w:val="center"/>
          </w:tcPr>
          <w:p w14:paraId="700971E4">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15</w:t>
            </w:r>
          </w:p>
        </w:tc>
        <w:tc>
          <w:tcPr>
            <w:tcW w:w="5236" w:type="dxa"/>
            <w:shd w:val="clear" w:color="auto" w:fill="auto"/>
            <w:vAlign w:val="center"/>
          </w:tcPr>
          <w:p w14:paraId="5EDB35C7">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对项目中重大事项不及时进行反馈从而影响决策的，出现一次扣5分；工作不积极主动，与</w:t>
            </w:r>
            <w:r>
              <w:rPr>
                <w:rFonts w:hint="eastAsia" w:ascii="Times New Roman" w:hAnsi="Times New Roman" w:eastAsia="方正仿宋_GBK" w:cs="Times New Roman"/>
                <w:color w:val="auto"/>
                <w:sz w:val="18"/>
                <w:szCs w:val="18"/>
                <w:highlight w:val="none"/>
                <w:lang w:eastAsia="zh-CN"/>
              </w:rPr>
              <w:t>征集人</w:t>
            </w:r>
            <w:r>
              <w:rPr>
                <w:rFonts w:hint="default" w:ascii="Times New Roman" w:hAnsi="Times New Roman" w:eastAsia="方正仿宋_GBK" w:cs="Times New Roman"/>
                <w:color w:val="auto"/>
                <w:sz w:val="18"/>
                <w:szCs w:val="18"/>
                <w:highlight w:val="none"/>
              </w:rPr>
              <w:t>沟通不顺畅，导致项目产生争议或影响项目实施的，扣5分；不能根据</w:t>
            </w:r>
            <w:r>
              <w:rPr>
                <w:rFonts w:hint="eastAsia" w:ascii="Times New Roman" w:hAnsi="Times New Roman" w:eastAsia="方正仿宋_GBK" w:cs="Times New Roman"/>
                <w:color w:val="auto"/>
                <w:sz w:val="18"/>
                <w:szCs w:val="18"/>
                <w:highlight w:val="none"/>
                <w:lang w:eastAsia="zh-CN"/>
              </w:rPr>
              <w:t>征集人</w:t>
            </w:r>
            <w:r>
              <w:rPr>
                <w:rFonts w:hint="default" w:ascii="Times New Roman" w:hAnsi="Times New Roman" w:eastAsia="方正仿宋_GBK" w:cs="Times New Roman"/>
                <w:color w:val="auto"/>
                <w:sz w:val="18"/>
                <w:szCs w:val="18"/>
                <w:highlight w:val="none"/>
              </w:rPr>
              <w:t>需要，及时安排人员协调解决项目紧急需求的，扣5分。</w:t>
            </w:r>
          </w:p>
        </w:tc>
        <w:tc>
          <w:tcPr>
            <w:tcW w:w="966" w:type="dxa"/>
            <w:shd w:val="clear" w:color="auto" w:fill="auto"/>
            <w:vAlign w:val="center"/>
          </w:tcPr>
          <w:p w14:paraId="37DD0ED8">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02C703BE">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4F7BE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6" w:type="dxa"/>
            <w:vMerge w:val="restart"/>
            <w:shd w:val="clear" w:color="auto" w:fill="auto"/>
            <w:vAlign w:val="center"/>
          </w:tcPr>
          <w:p w14:paraId="39FE4904">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3</w:t>
            </w:r>
          </w:p>
        </w:tc>
        <w:tc>
          <w:tcPr>
            <w:tcW w:w="576" w:type="dxa"/>
            <w:vMerge w:val="restart"/>
            <w:shd w:val="clear" w:color="auto" w:fill="auto"/>
            <w:vAlign w:val="center"/>
          </w:tcPr>
          <w:p w14:paraId="35A46EA7">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审核时效（</w:t>
            </w:r>
            <w:r>
              <w:rPr>
                <w:rFonts w:hint="default" w:ascii="Times New Roman" w:hAnsi="Times New Roman" w:eastAsia="方正楷体_GBK" w:cs="Times New Roman"/>
                <w:color w:val="auto"/>
                <w:sz w:val="18"/>
                <w:szCs w:val="18"/>
                <w:highlight w:val="none"/>
                <w:lang w:val="en-US" w:eastAsia="zh-CN"/>
              </w:rPr>
              <w:t>1</w:t>
            </w:r>
            <w:r>
              <w:rPr>
                <w:rFonts w:hint="eastAsia" w:ascii="Times New Roman" w:hAnsi="Times New Roman" w:eastAsia="方正楷体_GBK" w:cs="Times New Roman"/>
                <w:color w:val="auto"/>
                <w:sz w:val="18"/>
                <w:szCs w:val="18"/>
                <w:highlight w:val="none"/>
                <w:lang w:val="en-US" w:eastAsia="zh-CN"/>
              </w:rPr>
              <w:t>3</w:t>
            </w:r>
            <w:r>
              <w:rPr>
                <w:rFonts w:hint="default" w:ascii="Times New Roman" w:hAnsi="Times New Roman" w:eastAsia="方正楷体_GBK" w:cs="Times New Roman"/>
                <w:color w:val="auto"/>
                <w:sz w:val="18"/>
                <w:szCs w:val="18"/>
                <w:highlight w:val="none"/>
              </w:rPr>
              <w:t>分）</w:t>
            </w:r>
          </w:p>
        </w:tc>
        <w:tc>
          <w:tcPr>
            <w:tcW w:w="975" w:type="dxa"/>
            <w:shd w:val="clear" w:color="auto" w:fill="auto"/>
            <w:vAlign w:val="center"/>
          </w:tcPr>
          <w:p w14:paraId="2F64EEBA">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签订合同</w:t>
            </w:r>
          </w:p>
        </w:tc>
        <w:tc>
          <w:tcPr>
            <w:tcW w:w="440" w:type="dxa"/>
            <w:shd w:val="clear" w:color="auto" w:fill="auto"/>
            <w:vAlign w:val="center"/>
          </w:tcPr>
          <w:p w14:paraId="3DDC60F3">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auto"/>
                <w:sz w:val="18"/>
                <w:szCs w:val="18"/>
                <w:highlight w:val="none"/>
                <w:lang w:val="en-US" w:eastAsia="zh-CN"/>
              </w:rPr>
              <w:t>5</w:t>
            </w:r>
          </w:p>
        </w:tc>
        <w:tc>
          <w:tcPr>
            <w:tcW w:w="5236" w:type="dxa"/>
            <w:shd w:val="clear" w:color="auto" w:fill="auto"/>
            <w:vAlign w:val="center"/>
          </w:tcPr>
          <w:p w14:paraId="7CF19718">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未按</w:t>
            </w:r>
            <w:r>
              <w:rPr>
                <w:rFonts w:hint="eastAsia" w:ascii="Times New Roman" w:hAnsi="Times New Roman" w:eastAsia="方正仿宋_GBK" w:cs="Times New Roman"/>
                <w:color w:val="auto"/>
                <w:sz w:val="18"/>
                <w:szCs w:val="18"/>
                <w:highlight w:val="none"/>
                <w:lang w:eastAsia="zh-CN"/>
              </w:rPr>
              <w:t>征集人</w:t>
            </w:r>
            <w:r>
              <w:rPr>
                <w:rFonts w:hint="default" w:ascii="Times New Roman" w:hAnsi="Times New Roman" w:eastAsia="方正仿宋_GBK" w:cs="Times New Roman"/>
                <w:color w:val="auto"/>
                <w:sz w:val="18"/>
                <w:szCs w:val="18"/>
                <w:highlight w:val="none"/>
              </w:rPr>
              <w:t>要求签订合同的，扣</w:t>
            </w:r>
            <w:r>
              <w:rPr>
                <w:rFonts w:hint="eastAsia" w:ascii="Times New Roman" w:hAnsi="Times New Roman" w:eastAsia="方正仿宋_GBK" w:cs="Times New Roman"/>
                <w:color w:val="auto"/>
                <w:sz w:val="18"/>
                <w:szCs w:val="18"/>
                <w:highlight w:val="none"/>
                <w:lang w:val="en-US" w:eastAsia="zh-CN"/>
              </w:rPr>
              <w:t>5</w:t>
            </w:r>
            <w:r>
              <w:rPr>
                <w:rFonts w:hint="default" w:ascii="Times New Roman" w:hAnsi="Times New Roman" w:eastAsia="方正仿宋_GBK" w:cs="Times New Roman"/>
                <w:color w:val="auto"/>
                <w:sz w:val="18"/>
                <w:szCs w:val="18"/>
                <w:highlight w:val="none"/>
              </w:rPr>
              <w:t>分。</w:t>
            </w:r>
          </w:p>
        </w:tc>
        <w:tc>
          <w:tcPr>
            <w:tcW w:w="966" w:type="dxa"/>
            <w:shd w:val="clear" w:color="auto" w:fill="auto"/>
            <w:vAlign w:val="center"/>
          </w:tcPr>
          <w:p w14:paraId="408BA753">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61BDCB3C">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522E8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6" w:type="dxa"/>
            <w:vMerge w:val="continue"/>
            <w:vAlign w:val="center"/>
          </w:tcPr>
          <w:p w14:paraId="01B576FD">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576" w:type="dxa"/>
            <w:vMerge w:val="continue"/>
            <w:vAlign w:val="center"/>
          </w:tcPr>
          <w:p w14:paraId="22170663">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楷体_GBK" w:cs="Times New Roman"/>
                <w:color w:val="auto"/>
                <w:sz w:val="18"/>
                <w:szCs w:val="18"/>
                <w:highlight w:val="none"/>
              </w:rPr>
            </w:pPr>
          </w:p>
        </w:tc>
        <w:tc>
          <w:tcPr>
            <w:tcW w:w="975" w:type="dxa"/>
            <w:shd w:val="clear" w:color="auto" w:fill="auto"/>
            <w:vAlign w:val="center"/>
          </w:tcPr>
          <w:p w14:paraId="07B76586">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报告时效</w:t>
            </w:r>
          </w:p>
        </w:tc>
        <w:tc>
          <w:tcPr>
            <w:tcW w:w="440" w:type="dxa"/>
            <w:shd w:val="clear" w:color="auto" w:fill="auto"/>
            <w:vAlign w:val="center"/>
          </w:tcPr>
          <w:p w14:paraId="4B3D9DBA">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10</w:t>
            </w:r>
          </w:p>
        </w:tc>
        <w:tc>
          <w:tcPr>
            <w:tcW w:w="5236" w:type="dxa"/>
            <w:shd w:val="clear" w:color="auto" w:fill="auto"/>
            <w:vAlign w:val="center"/>
          </w:tcPr>
          <w:p w14:paraId="2E0DA525">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lang w:eastAsia="zh-CN"/>
              </w:rPr>
            </w:pPr>
            <w:r>
              <w:rPr>
                <w:rFonts w:hint="default" w:ascii="Times New Roman" w:hAnsi="Times New Roman" w:eastAsia="方正仿宋_GBK" w:cs="Times New Roman"/>
                <w:color w:val="auto"/>
                <w:sz w:val="18"/>
                <w:szCs w:val="18"/>
                <w:highlight w:val="none"/>
              </w:rPr>
              <w:t>未在规定期限（含核准后适当给予的调整审核时间）内提交审核结果的，扣2分；超出期限3个工作日内不能提交审核结果的，扣5分；超出期限5个工作日内仍不能提交审核结果的，扣10分</w:t>
            </w:r>
            <w:r>
              <w:rPr>
                <w:rFonts w:hint="default" w:ascii="Times New Roman" w:hAnsi="Times New Roman" w:eastAsia="方正仿宋_GBK" w:cs="Times New Roman"/>
                <w:color w:val="auto"/>
                <w:sz w:val="18"/>
                <w:szCs w:val="18"/>
                <w:highlight w:val="none"/>
                <w:lang w:eastAsia="zh-CN"/>
              </w:rPr>
              <w:t>。</w:t>
            </w:r>
          </w:p>
        </w:tc>
        <w:tc>
          <w:tcPr>
            <w:tcW w:w="966" w:type="dxa"/>
            <w:shd w:val="clear" w:color="auto" w:fill="auto"/>
            <w:vAlign w:val="center"/>
          </w:tcPr>
          <w:p w14:paraId="2379CE63">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15412473">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60EFF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36" w:type="dxa"/>
            <w:shd w:val="clear" w:color="auto" w:fill="auto"/>
            <w:vAlign w:val="center"/>
          </w:tcPr>
          <w:p w14:paraId="74518395">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4</w:t>
            </w:r>
          </w:p>
        </w:tc>
        <w:tc>
          <w:tcPr>
            <w:tcW w:w="576" w:type="dxa"/>
            <w:shd w:val="clear" w:color="auto" w:fill="auto"/>
            <w:vAlign w:val="center"/>
          </w:tcPr>
          <w:p w14:paraId="43502E10">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楷体_GBK" w:cs="Times New Roman"/>
                <w:color w:val="auto"/>
                <w:sz w:val="18"/>
                <w:szCs w:val="18"/>
                <w:highlight w:val="none"/>
              </w:rPr>
            </w:pPr>
            <w:r>
              <w:rPr>
                <w:rFonts w:hint="default" w:ascii="Times New Roman" w:hAnsi="Times New Roman" w:eastAsia="方正楷体_GBK" w:cs="Times New Roman"/>
                <w:color w:val="auto"/>
                <w:sz w:val="18"/>
                <w:szCs w:val="18"/>
                <w:highlight w:val="none"/>
              </w:rPr>
              <w:t>档案管理（5分）</w:t>
            </w:r>
          </w:p>
        </w:tc>
        <w:tc>
          <w:tcPr>
            <w:tcW w:w="975" w:type="dxa"/>
            <w:shd w:val="clear" w:color="auto" w:fill="auto"/>
            <w:vAlign w:val="center"/>
          </w:tcPr>
          <w:p w14:paraId="2DC1404D">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方正楷体_GBK" w:hAnsi="方正楷体_GBK" w:eastAsia="方正楷体_GBK" w:cs="方正楷体_GBK"/>
                <w:color w:val="auto"/>
                <w:sz w:val="18"/>
                <w:szCs w:val="18"/>
                <w:highlight w:val="none"/>
              </w:rPr>
            </w:pPr>
            <w:r>
              <w:rPr>
                <w:rFonts w:hint="eastAsia" w:ascii="方正楷体_GBK" w:hAnsi="方正楷体_GBK" w:eastAsia="方正楷体_GBK" w:cs="方正楷体_GBK"/>
                <w:color w:val="auto"/>
                <w:sz w:val="18"/>
                <w:szCs w:val="18"/>
                <w:highlight w:val="none"/>
              </w:rPr>
              <w:t>档案管理</w:t>
            </w:r>
          </w:p>
        </w:tc>
        <w:tc>
          <w:tcPr>
            <w:tcW w:w="440" w:type="dxa"/>
            <w:shd w:val="clear" w:color="auto" w:fill="auto"/>
            <w:vAlign w:val="center"/>
          </w:tcPr>
          <w:p w14:paraId="4638934F">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5</w:t>
            </w:r>
          </w:p>
        </w:tc>
        <w:tc>
          <w:tcPr>
            <w:tcW w:w="5236" w:type="dxa"/>
            <w:shd w:val="clear" w:color="auto" w:fill="auto"/>
            <w:vAlign w:val="center"/>
          </w:tcPr>
          <w:p w14:paraId="56F4E3B4">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凡出现未对项目建议书、可研报告、初步设计图纸、委托合同等资料进行存档的，每项扣1分；应保持档案资料整理的规范、整洁，建立相应归档资料台帐、目录，出现不符合资料规整要求的，每项扣1分。</w:t>
            </w:r>
          </w:p>
        </w:tc>
        <w:tc>
          <w:tcPr>
            <w:tcW w:w="966" w:type="dxa"/>
            <w:shd w:val="clear" w:color="auto" w:fill="auto"/>
            <w:vAlign w:val="center"/>
          </w:tcPr>
          <w:p w14:paraId="534748B1">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605D624E">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0292E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87" w:type="dxa"/>
            <w:gridSpan w:val="3"/>
            <w:shd w:val="clear" w:color="auto" w:fill="auto"/>
            <w:vAlign w:val="center"/>
          </w:tcPr>
          <w:p w14:paraId="5C780A1D">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18"/>
                <w:szCs w:val="18"/>
                <w:highlight w:val="none"/>
              </w:rPr>
            </w:pPr>
            <w:r>
              <w:rPr>
                <w:rFonts w:hint="eastAsia" w:ascii="方正黑体_GBK" w:hAnsi="方正黑体_GBK" w:eastAsia="方正黑体_GBK" w:cs="方正黑体_GBK"/>
                <w:color w:val="auto"/>
                <w:sz w:val="18"/>
                <w:szCs w:val="18"/>
                <w:highlight w:val="none"/>
              </w:rPr>
              <w:t>分值</w:t>
            </w:r>
          </w:p>
        </w:tc>
        <w:tc>
          <w:tcPr>
            <w:tcW w:w="440" w:type="dxa"/>
            <w:shd w:val="clear" w:color="auto" w:fill="auto"/>
            <w:vAlign w:val="center"/>
          </w:tcPr>
          <w:p w14:paraId="31672434">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100</w:t>
            </w:r>
          </w:p>
        </w:tc>
        <w:tc>
          <w:tcPr>
            <w:tcW w:w="5236" w:type="dxa"/>
            <w:shd w:val="clear" w:color="auto" w:fill="auto"/>
            <w:vAlign w:val="center"/>
          </w:tcPr>
          <w:p w14:paraId="736DCDC8">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966" w:type="dxa"/>
            <w:shd w:val="clear" w:color="auto" w:fill="auto"/>
            <w:vAlign w:val="center"/>
          </w:tcPr>
          <w:p w14:paraId="5418944D">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c>
          <w:tcPr>
            <w:tcW w:w="1120" w:type="dxa"/>
            <w:shd w:val="clear" w:color="auto" w:fill="auto"/>
            <w:vAlign w:val="center"/>
          </w:tcPr>
          <w:p w14:paraId="431E645D">
            <w:pPr>
              <w:keepNext w:val="0"/>
              <w:keepLines w:val="0"/>
              <w:pageBreakBefore w:val="0"/>
              <w:widowControl/>
              <w:kinsoku/>
              <w:wordWrap/>
              <w:overflowPunct/>
              <w:topLinePunct w:val="0"/>
              <w:autoSpaceDE/>
              <w:autoSpaceDN/>
              <w:bidi w:val="0"/>
              <w:adjustRightInd/>
              <w:snapToGrid w:val="0"/>
              <w:spacing w:line="300" w:lineRule="exact"/>
              <w:jc w:val="left"/>
              <w:textAlignment w:val="auto"/>
              <w:rPr>
                <w:rFonts w:hint="eastAsia" w:ascii="宋体" w:hAnsi="宋体" w:cs="宋体"/>
                <w:color w:val="auto"/>
                <w:sz w:val="18"/>
                <w:szCs w:val="18"/>
                <w:highlight w:val="none"/>
              </w:rPr>
            </w:pPr>
            <w:r>
              <w:rPr>
                <w:rFonts w:hint="eastAsia" w:ascii="宋体" w:hAnsi="宋体" w:cs="宋体"/>
                <w:color w:val="auto"/>
                <w:sz w:val="18"/>
                <w:szCs w:val="18"/>
                <w:highlight w:val="none"/>
              </w:rPr>
              <w:t>　</w:t>
            </w:r>
          </w:p>
        </w:tc>
      </w:tr>
      <w:tr w14:paraId="40E74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49" w:type="dxa"/>
            <w:gridSpan w:val="7"/>
            <w:shd w:val="clear" w:color="auto" w:fill="auto"/>
            <w:vAlign w:val="center"/>
          </w:tcPr>
          <w:p w14:paraId="6574BA2D">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方正仿宋_GBK" w:hAnsi="方正仿宋_GBK" w:eastAsia="方正仿宋_GBK" w:cs="方正仿宋_GBK"/>
                <w:color w:val="auto"/>
                <w:sz w:val="20"/>
                <w:szCs w:val="20"/>
                <w:highlight w:val="none"/>
              </w:rPr>
            </w:pPr>
            <w:r>
              <w:rPr>
                <w:rFonts w:hint="eastAsia" w:ascii="方正仿宋_GBK" w:hAnsi="方正仿宋_GBK" w:eastAsia="方正仿宋_GBK" w:cs="方正仿宋_GBK"/>
                <w:color w:val="auto"/>
                <w:sz w:val="20"/>
                <w:szCs w:val="20"/>
                <w:highlight w:val="none"/>
              </w:rPr>
              <w:t>其他情况说明：单项分值扣完为止，不再倒扣。项目实施一次性考核，考核得分即为项目最终得分。</w:t>
            </w:r>
          </w:p>
        </w:tc>
      </w:tr>
    </w:tbl>
    <w:p w14:paraId="6AADCAF0">
      <w:pPr>
        <w:pStyle w:val="28"/>
        <w:rPr>
          <w:color w:val="auto"/>
          <w:highlight w:val="none"/>
        </w:rPr>
      </w:pPr>
    </w:p>
    <w:p w14:paraId="14227087">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9"/>
        <w:rPr>
          <w:rFonts w:hint="eastAsia"/>
          <w:color w:val="auto"/>
          <w:highlight w:val="none"/>
        </w:rPr>
      </w:pPr>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三</w:t>
      </w:r>
      <w:r>
        <w:rPr>
          <w:rFonts w:hint="eastAsia" w:ascii="黑体" w:hAnsi="黑体" w:eastAsia="黑体"/>
          <w:color w:val="auto"/>
          <w:sz w:val="28"/>
          <w:highlight w:val="none"/>
        </w:rPr>
        <w:t>章 评标方法和标准</w:t>
      </w:r>
      <w:bookmarkEnd w:id="5"/>
    </w:p>
    <w:p w14:paraId="008626E8">
      <w:pPr>
        <w:spacing w:line="360" w:lineRule="auto"/>
        <w:jc w:val="left"/>
        <w:rPr>
          <w:rFonts w:ascii="宋体" w:hAnsi="宋体"/>
          <w:color w:val="auto"/>
          <w:sz w:val="24"/>
          <w:szCs w:val="24"/>
          <w:highlight w:val="none"/>
        </w:rPr>
      </w:pPr>
      <w:r>
        <w:rPr>
          <w:rFonts w:hint="eastAsia" w:ascii="宋体" w:hAnsi="宋体"/>
          <w:color w:val="auto"/>
          <w:sz w:val="24"/>
          <w:szCs w:val="24"/>
          <w:highlight w:val="none"/>
        </w:rPr>
        <w:t>一、评分项目（总分100分）</w:t>
      </w:r>
    </w:p>
    <w:tbl>
      <w:tblPr>
        <w:tblStyle w:val="22"/>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4"/>
        <w:gridCol w:w="5667"/>
      </w:tblGrid>
      <w:tr w14:paraId="0D504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684" w:type="dxa"/>
            <w:vAlign w:val="center"/>
          </w:tcPr>
          <w:p w14:paraId="50D9B0F9">
            <w:pPr>
              <w:jc w:val="center"/>
              <w:rPr>
                <w:rFonts w:hint="default" w:ascii="宋体" w:hAnsi="宋体" w:eastAsiaTheme="minorEastAsia"/>
                <w:color w:val="auto"/>
                <w:sz w:val="24"/>
                <w:szCs w:val="24"/>
                <w:highlight w:val="none"/>
                <w:lang w:val="en-US" w:eastAsia="zh-CN"/>
              </w:rPr>
            </w:pPr>
            <w:r>
              <w:rPr>
                <w:rFonts w:hint="eastAsia" w:ascii="宋体" w:hAnsi="宋体"/>
                <w:color w:val="auto"/>
                <w:sz w:val="24"/>
                <w:szCs w:val="24"/>
                <w:highlight w:val="none"/>
                <w:lang w:val="en-US" w:eastAsia="zh-CN"/>
              </w:rPr>
              <w:t>评分标准</w:t>
            </w:r>
          </w:p>
        </w:tc>
        <w:tc>
          <w:tcPr>
            <w:tcW w:w="5667" w:type="dxa"/>
            <w:vAlign w:val="center"/>
          </w:tcPr>
          <w:p w14:paraId="74B5D935">
            <w:pPr>
              <w:jc w:val="center"/>
              <w:rPr>
                <w:rFonts w:ascii="宋体" w:hAnsi="宋体"/>
                <w:color w:val="auto"/>
                <w:sz w:val="24"/>
                <w:szCs w:val="24"/>
                <w:highlight w:val="none"/>
              </w:rPr>
            </w:pPr>
            <w:r>
              <w:rPr>
                <w:rFonts w:hint="eastAsia" w:ascii="宋体" w:hAnsi="宋体"/>
                <w:color w:val="auto"/>
                <w:sz w:val="24"/>
                <w:szCs w:val="24"/>
                <w:highlight w:val="none"/>
                <w:lang w:val="en-US" w:eastAsia="zh-CN"/>
              </w:rPr>
              <w:t>100</w:t>
            </w:r>
            <w:r>
              <w:rPr>
                <w:rFonts w:hint="eastAsia" w:ascii="宋体" w:hAnsi="宋体"/>
                <w:color w:val="auto"/>
                <w:sz w:val="24"/>
                <w:szCs w:val="24"/>
                <w:highlight w:val="none"/>
              </w:rPr>
              <w:t>分</w:t>
            </w:r>
          </w:p>
        </w:tc>
      </w:tr>
    </w:tbl>
    <w:p w14:paraId="14311566">
      <w:pPr>
        <w:spacing w:line="360" w:lineRule="auto"/>
        <w:jc w:val="left"/>
        <w:rPr>
          <w:rFonts w:ascii="宋体" w:hAnsi="宋体"/>
          <w:color w:val="auto"/>
          <w:sz w:val="24"/>
          <w:szCs w:val="24"/>
          <w:highlight w:val="none"/>
        </w:rPr>
      </w:pPr>
      <w:r>
        <w:rPr>
          <w:rFonts w:hint="eastAsia" w:ascii="宋体" w:hAnsi="宋体"/>
          <w:color w:val="auto"/>
          <w:sz w:val="24"/>
          <w:szCs w:val="24"/>
          <w:highlight w:val="none"/>
        </w:rPr>
        <w:t>二、评审内容：</w:t>
      </w:r>
    </w:p>
    <w:tbl>
      <w:tblPr>
        <w:tblStyle w:val="22"/>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712"/>
        <w:gridCol w:w="1254"/>
        <w:gridCol w:w="611"/>
        <w:gridCol w:w="6561"/>
      </w:tblGrid>
      <w:tr w14:paraId="4C4E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tcBorders>
              <w:top w:val="single" w:color="auto" w:sz="4" w:space="0"/>
              <w:left w:val="single" w:color="auto" w:sz="4" w:space="0"/>
              <w:bottom w:val="single" w:color="auto" w:sz="4" w:space="0"/>
              <w:right w:val="single" w:color="auto" w:sz="4" w:space="0"/>
            </w:tcBorders>
            <w:vAlign w:val="center"/>
          </w:tcPr>
          <w:p w14:paraId="73A4EC1C">
            <w:pPr>
              <w:spacing w:line="360" w:lineRule="auto"/>
              <w:jc w:val="center"/>
              <w:rPr>
                <w:rFonts w:hint="eastAsia" w:ascii="宋体" w:hAnsi="宋体" w:eastAsia="宋体" w:cs="宋体"/>
                <w:color w:val="auto"/>
                <w:sz w:val="24"/>
                <w:szCs w:val="24"/>
                <w:highlight w:val="none"/>
              </w:rPr>
            </w:pPr>
            <w:bookmarkStart w:id="6" w:name="OLE_LINK8"/>
            <w:r>
              <w:rPr>
                <w:rFonts w:hint="eastAsia" w:ascii="宋体" w:hAnsi="宋体" w:eastAsia="宋体" w:cs="宋体"/>
                <w:color w:val="auto"/>
                <w:sz w:val="24"/>
                <w:szCs w:val="24"/>
                <w:highlight w:val="none"/>
              </w:rPr>
              <w:t>评审内容</w:t>
            </w:r>
          </w:p>
        </w:tc>
        <w:tc>
          <w:tcPr>
            <w:tcW w:w="712" w:type="dxa"/>
            <w:tcBorders>
              <w:top w:val="single" w:color="auto" w:sz="4" w:space="0"/>
              <w:left w:val="single" w:color="auto" w:sz="4" w:space="0"/>
              <w:bottom w:val="single" w:color="auto" w:sz="4" w:space="0"/>
              <w:right w:val="single" w:color="auto" w:sz="4" w:space="0"/>
            </w:tcBorders>
            <w:vAlign w:val="center"/>
          </w:tcPr>
          <w:p w14:paraId="3C833B01">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54" w:type="dxa"/>
            <w:tcBorders>
              <w:top w:val="single" w:color="auto" w:sz="4" w:space="0"/>
              <w:left w:val="single" w:color="auto" w:sz="4" w:space="0"/>
              <w:bottom w:val="single" w:color="auto" w:sz="4" w:space="0"/>
              <w:right w:val="single" w:color="auto" w:sz="4" w:space="0"/>
            </w:tcBorders>
            <w:vAlign w:val="center"/>
          </w:tcPr>
          <w:p w14:paraId="1A455E2A">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611" w:type="dxa"/>
            <w:tcBorders>
              <w:top w:val="single" w:color="auto" w:sz="4" w:space="0"/>
              <w:left w:val="single" w:color="auto" w:sz="4" w:space="0"/>
              <w:bottom w:val="single" w:color="auto" w:sz="4" w:space="0"/>
              <w:right w:val="single" w:color="auto" w:sz="4" w:space="0"/>
            </w:tcBorders>
            <w:vAlign w:val="center"/>
          </w:tcPr>
          <w:p w14:paraId="0048B62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6561" w:type="dxa"/>
            <w:tcBorders>
              <w:top w:val="single" w:color="auto" w:sz="4" w:space="0"/>
              <w:left w:val="single" w:color="auto" w:sz="4" w:space="0"/>
              <w:bottom w:val="single" w:color="auto" w:sz="4" w:space="0"/>
              <w:right w:val="single" w:color="auto" w:sz="4" w:space="0"/>
            </w:tcBorders>
            <w:vAlign w:val="center"/>
          </w:tcPr>
          <w:p w14:paraId="38B29B85">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14:paraId="734B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restart"/>
            <w:tcBorders>
              <w:top w:val="single" w:color="auto" w:sz="4" w:space="0"/>
              <w:left w:val="single" w:color="auto" w:sz="4" w:space="0"/>
              <w:right w:val="single" w:color="auto" w:sz="4" w:space="0"/>
            </w:tcBorders>
            <w:vAlign w:val="center"/>
          </w:tcPr>
          <w:p w14:paraId="397F0395">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主观评审因素</w:t>
            </w:r>
          </w:p>
        </w:tc>
        <w:tc>
          <w:tcPr>
            <w:tcW w:w="712" w:type="dxa"/>
            <w:tcBorders>
              <w:top w:val="single" w:color="auto" w:sz="4" w:space="0"/>
              <w:left w:val="single" w:color="auto" w:sz="4" w:space="0"/>
              <w:bottom w:val="single" w:color="auto" w:sz="4" w:space="0"/>
              <w:right w:val="single" w:color="auto" w:sz="4" w:space="0"/>
            </w:tcBorders>
            <w:vAlign w:val="center"/>
          </w:tcPr>
          <w:p w14:paraId="17CF0F48">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254" w:type="dxa"/>
            <w:tcBorders>
              <w:top w:val="single" w:color="auto" w:sz="4" w:space="0"/>
              <w:left w:val="single" w:color="auto" w:sz="4" w:space="0"/>
              <w:bottom w:val="single" w:color="auto" w:sz="4" w:space="0"/>
              <w:right w:val="single" w:color="auto" w:sz="4" w:space="0"/>
            </w:tcBorders>
            <w:vAlign w:val="center"/>
          </w:tcPr>
          <w:p w14:paraId="1481D466">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协审实施方案</w:t>
            </w:r>
          </w:p>
        </w:tc>
        <w:tc>
          <w:tcPr>
            <w:tcW w:w="611" w:type="dxa"/>
            <w:tcBorders>
              <w:top w:val="single" w:color="auto" w:sz="4" w:space="0"/>
              <w:left w:val="single" w:color="auto" w:sz="4" w:space="0"/>
              <w:bottom w:val="single" w:color="auto" w:sz="4" w:space="0"/>
              <w:right w:val="single" w:color="auto" w:sz="4" w:space="0"/>
            </w:tcBorders>
            <w:vAlign w:val="center"/>
          </w:tcPr>
          <w:p w14:paraId="52C70597">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15</w:t>
            </w:r>
            <w:r>
              <w:rPr>
                <w:rFonts w:hint="eastAsia" w:ascii="宋体" w:hAnsi="宋体" w:eastAsia="宋体" w:cs="宋体"/>
                <w:color w:val="auto"/>
                <w:sz w:val="24"/>
                <w:highlight w:val="none"/>
              </w:rPr>
              <w:t>分</w:t>
            </w:r>
          </w:p>
        </w:tc>
        <w:tc>
          <w:tcPr>
            <w:tcW w:w="6561" w:type="dxa"/>
            <w:tcBorders>
              <w:top w:val="single" w:color="auto" w:sz="4" w:space="0"/>
              <w:left w:val="single" w:color="auto" w:sz="4" w:space="0"/>
              <w:bottom w:val="single" w:color="auto" w:sz="4" w:space="0"/>
              <w:right w:val="single" w:color="auto" w:sz="4" w:space="0"/>
            </w:tcBorders>
            <w:vAlign w:val="center"/>
          </w:tcPr>
          <w:p w14:paraId="2590806C">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根据实际特点，撰写协审实施方案，包括但不仅限于</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内控制度，审计组织管理等：</w:t>
            </w:r>
          </w:p>
          <w:p w14:paraId="6BB50652">
            <w:pPr>
              <w:tabs>
                <w:tab w:val="left" w:pos="312"/>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1、协审实施方案：</w:t>
            </w:r>
          </w:p>
          <w:p w14:paraId="4F47CA56">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针对审计服务的时间、方法、流程、措施全面、合理、有针对</w:t>
            </w:r>
            <w:r>
              <w:rPr>
                <w:rFonts w:hint="eastAsia" w:ascii="宋体" w:hAnsi="宋体" w:eastAsia="宋体" w:cs="宋体"/>
                <w:color w:val="auto"/>
                <w:sz w:val="24"/>
                <w:highlight w:val="none"/>
                <w:lang w:val="en-US" w:eastAsia="zh-CN"/>
              </w:rPr>
              <w:t>性</w:t>
            </w:r>
            <w:r>
              <w:rPr>
                <w:rFonts w:hint="eastAsia" w:ascii="宋体" w:hAnsi="宋体" w:eastAsia="宋体" w:cs="宋体"/>
                <w:color w:val="auto"/>
                <w:sz w:val="24"/>
                <w:highlight w:val="none"/>
              </w:rPr>
              <w:t>、规范性强的，得</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分；</w:t>
            </w:r>
          </w:p>
          <w:p w14:paraId="03364CC2">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较详实全面的，3分；</w:t>
            </w:r>
          </w:p>
          <w:p w14:paraId="3EEA08B5">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全面性、合理性一般的，得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p>
          <w:p w14:paraId="26B0463F">
            <w:pPr>
              <w:spacing w:line="360" w:lineRule="auto"/>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其余情况不得分。</w:t>
            </w:r>
          </w:p>
          <w:p w14:paraId="62AAFF07">
            <w:pPr>
              <w:tabs>
                <w:tab w:val="left" w:pos="312"/>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2、内控制度</w:t>
            </w:r>
          </w:p>
          <w:p w14:paraId="2AFA9BC1">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内控制度内容健全、能有效落实并能合理且有针对性的举例说明的，得</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分；</w:t>
            </w:r>
          </w:p>
          <w:p w14:paraId="240195DE">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有相关内控制度且能基本落实的，得3分；</w:t>
            </w:r>
          </w:p>
          <w:p w14:paraId="37809EA8">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内控制度制定及落实一般的，得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p>
          <w:p w14:paraId="52D123FD">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其余情况不得分。</w:t>
            </w:r>
          </w:p>
          <w:p w14:paraId="3C2B05C6">
            <w:pPr>
              <w:tabs>
                <w:tab w:val="left" w:pos="312"/>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3、协审组织管理及人员配备方案</w:t>
            </w:r>
          </w:p>
          <w:p w14:paraId="75DC247F">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协审组织管理及人员配备方案科学、合理、全面，能有效提高协审效率及协审质量的，得</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分；</w:t>
            </w:r>
          </w:p>
          <w:p w14:paraId="37262386">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方案较科学、合理，能提高协审效率的，得3分；</w:t>
            </w:r>
          </w:p>
          <w:p w14:paraId="20A91CD3">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方案普通、基本达到项目协审条件的，得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p>
          <w:p w14:paraId="31233219">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其余情况不得分。</w:t>
            </w:r>
          </w:p>
        </w:tc>
      </w:tr>
      <w:tr w14:paraId="4AEB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12F00F2B">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4FEB2A5C">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254" w:type="dxa"/>
            <w:tcBorders>
              <w:top w:val="single" w:color="auto" w:sz="4" w:space="0"/>
              <w:left w:val="single" w:color="auto" w:sz="4" w:space="0"/>
              <w:bottom w:val="single" w:color="auto" w:sz="4" w:space="0"/>
              <w:right w:val="single" w:color="auto" w:sz="4" w:space="0"/>
            </w:tcBorders>
            <w:vAlign w:val="center"/>
          </w:tcPr>
          <w:p w14:paraId="127E0B5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服务保障方案</w:t>
            </w:r>
          </w:p>
        </w:tc>
        <w:tc>
          <w:tcPr>
            <w:tcW w:w="611" w:type="dxa"/>
            <w:tcBorders>
              <w:top w:val="single" w:color="auto" w:sz="4" w:space="0"/>
              <w:left w:val="single" w:color="auto" w:sz="4" w:space="0"/>
              <w:bottom w:val="single" w:color="auto" w:sz="4" w:space="0"/>
              <w:right w:val="single" w:color="auto" w:sz="4" w:space="0"/>
            </w:tcBorders>
            <w:vAlign w:val="center"/>
          </w:tcPr>
          <w:p w14:paraId="3B8D6FAA">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20分</w:t>
            </w:r>
          </w:p>
        </w:tc>
        <w:tc>
          <w:tcPr>
            <w:tcW w:w="6561" w:type="dxa"/>
            <w:tcBorders>
              <w:top w:val="single" w:color="auto" w:sz="4" w:space="0"/>
              <w:left w:val="single" w:color="auto" w:sz="4" w:space="0"/>
              <w:bottom w:val="single" w:color="auto" w:sz="4" w:space="0"/>
              <w:right w:val="single" w:color="auto" w:sz="4" w:space="0"/>
            </w:tcBorders>
            <w:vAlign w:val="center"/>
          </w:tcPr>
          <w:p w14:paraId="44A7117F">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撰写服务保障措施，包括但不限于对协审工作需执行的相关标准解读、质效保障、人员考核、信息化、高科技手段等；</w:t>
            </w:r>
          </w:p>
          <w:p w14:paraId="3B0128DA">
            <w:pPr>
              <w:tabs>
                <w:tab w:val="left" w:pos="312"/>
              </w:tabs>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1、政策掌握能力。</w:t>
            </w:r>
          </w:p>
          <w:p w14:paraId="7A698EBA">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根据供应商已有的经验，对宜兴市</w:t>
            </w:r>
            <w:r>
              <w:rPr>
                <w:rFonts w:hint="eastAsia" w:ascii="宋体" w:hAnsi="宋体" w:eastAsia="宋体" w:cs="宋体"/>
                <w:color w:val="auto"/>
                <w:sz w:val="24"/>
                <w:highlight w:val="none"/>
                <w:lang w:eastAsia="zh-CN"/>
              </w:rPr>
              <w:t>市级</w:t>
            </w:r>
            <w:r>
              <w:rPr>
                <w:rFonts w:hint="eastAsia" w:ascii="宋体" w:hAnsi="宋体" w:eastAsia="宋体" w:cs="宋体"/>
                <w:color w:val="auto"/>
                <w:sz w:val="24"/>
                <w:highlight w:val="none"/>
              </w:rPr>
              <w:t>投资项目管理、基本建设程序、工程造价协审管理、造价咨询企业管理等相关政策及要求的掌握程度，包括对政策及要求把握的全面性、相关性、准确性等。</w:t>
            </w:r>
          </w:p>
          <w:p w14:paraId="06A9F5C3">
            <w:pPr>
              <w:numPr>
                <w:ilvl w:val="0"/>
                <w:numId w:val="3"/>
              </w:num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全面性、合理性、针对性、规范性强，能灵活运用，严格遵守的,得5分；</w:t>
            </w:r>
          </w:p>
          <w:p w14:paraId="5CB73D50">
            <w:pPr>
              <w:numPr>
                <w:ilvl w:val="0"/>
                <w:numId w:val="3"/>
              </w:numPr>
              <w:ind w:left="0" w:leftChars="0" w:firstLine="0" w:firstLineChars="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较好，能合理遵守的,得</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分；</w:t>
            </w:r>
          </w:p>
          <w:p w14:paraId="747A6E4D">
            <w:pPr>
              <w:numPr>
                <w:ilvl w:val="0"/>
                <w:numId w:val="3"/>
              </w:numPr>
              <w:ind w:left="0" w:leftChars="0" w:firstLine="0" w:firstLineChars="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全面性、针对性一般的，得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lang w:eastAsia="zh-CN"/>
              </w:rPr>
              <w:t>；</w:t>
            </w:r>
          </w:p>
          <w:p w14:paraId="7AECC02B">
            <w:pPr>
              <w:numPr>
                <w:ilvl w:val="0"/>
                <w:numId w:val="0"/>
              </w:numPr>
              <w:ind w:leftChars="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（4）其余情况不得分。</w:t>
            </w:r>
          </w:p>
          <w:p w14:paraId="63740A12">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2、进度保障措施。</w:t>
            </w:r>
          </w:p>
          <w:p w14:paraId="3DE4D313">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（1）有针对协审工作完善、具体的进度保障措施，内部质量控制落实到具体环节、时点、人员的，得5分；</w:t>
            </w:r>
          </w:p>
          <w:p w14:paraId="3F25075B">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（2）有完善的进度保障措施，内部质量控制落实到具体环节、时点的，得</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分；</w:t>
            </w:r>
          </w:p>
          <w:p w14:paraId="4C699E21">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（3）有具体的进度保障措施，内部质量控制落实一般的，得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p>
          <w:p w14:paraId="2FE18157">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（4）其余情况不得分。</w:t>
            </w:r>
          </w:p>
          <w:p w14:paraId="6FAB2DE9">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3、内部考核体系。</w:t>
            </w:r>
          </w:p>
          <w:p w14:paraId="2D0B285D">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提供总公司或在宜已设机构内部考核体系及内部考核成果与报酬挂钩的奖惩情况。</w:t>
            </w:r>
          </w:p>
          <w:p w14:paraId="2740C756">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（1）内部有考核体系，定性正确、表述清晰，有内部考核成果的，得5分；</w:t>
            </w:r>
          </w:p>
          <w:p w14:paraId="546F3D4B">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（2）内部有考核体系，内部层级分工不够明确的，得</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分；</w:t>
            </w:r>
          </w:p>
          <w:p w14:paraId="541B3987">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（3）内部有考核体系，表述模糊的，得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p>
          <w:p w14:paraId="4B29FBF7">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（4）其余情况不得分。</w:t>
            </w:r>
          </w:p>
          <w:p w14:paraId="3951CB26">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4、专业软件及设备平台。</w:t>
            </w:r>
          </w:p>
          <w:p w14:paraId="2F78E876">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自身具备开展项目协审所需平台且对该平台操作熟练、在投标项目协审工作中针对信息化管理应用方案（含协审人员审核、机构核查、质量控制等）全面性、合理性、针对性强的，得5分；</w:t>
            </w:r>
          </w:p>
          <w:p w14:paraId="7AC314F1">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自身具备开展项目协审所需平台且对该平台操作较熟悉、在投标项目协审工作中针对信息化管理应用方案（含协审人员审核、机构核查、质量控制等）较全面、较合理、针对性较强的，得</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分；</w:t>
            </w:r>
          </w:p>
          <w:p w14:paraId="0F660F83">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自身具备开展项目协审所需平台且对该平台操作熟悉度一般、在投标项目协审工作中针对信息化管理应用方案（含协审人员审核、机构核查、质量控制等）全面性、合理性、针对性一般的，得</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分；</w:t>
            </w:r>
          </w:p>
          <w:p w14:paraId="0C9EE588">
            <w:pPr>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（4）其余情况不得分。</w:t>
            </w:r>
          </w:p>
        </w:tc>
      </w:tr>
      <w:tr w14:paraId="01466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23689262">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20FA3E47">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254" w:type="dxa"/>
            <w:tcBorders>
              <w:top w:val="single" w:color="auto" w:sz="4" w:space="0"/>
              <w:left w:val="single" w:color="auto" w:sz="4" w:space="0"/>
              <w:bottom w:val="single" w:color="auto" w:sz="4" w:space="0"/>
              <w:right w:val="single" w:color="auto" w:sz="4" w:space="0"/>
            </w:tcBorders>
            <w:vAlign w:val="center"/>
          </w:tcPr>
          <w:p w14:paraId="1D594C19">
            <w:pPr>
              <w:spacing w:line="360" w:lineRule="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协审成果转化方案</w:t>
            </w:r>
          </w:p>
        </w:tc>
        <w:tc>
          <w:tcPr>
            <w:tcW w:w="611" w:type="dxa"/>
            <w:tcBorders>
              <w:top w:val="single" w:color="auto" w:sz="4" w:space="0"/>
              <w:left w:val="single" w:color="auto" w:sz="4" w:space="0"/>
              <w:bottom w:val="single" w:color="auto" w:sz="4" w:space="0"/>
              <w:right w:val="single" w:color="auto" w:sz="4" w:space="0"/>
            </w:tcBorders>
            <w:vAlign w:val="center"/>
          </w:tcPr>
          <w:p w14:paraId="1FB2E6B1">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5分</w:t>
            </w:r>
          </w:p>
        </w:tc>
        <w:tc>
          <w:tcPr>
            <w:tcW w:w="6561" w:type="dxa"/>
            <w:tcBorders>
              <w:top w:val="single" w:color="auto" w:sz="4" w:space="0"/>
              <w:left w:val="single" w:color="auto" w:sz="4" w:space="0"/>
              <w:bottom w:val="single" w:color="auto" w:sz="4" w:space="0"/>
              <w:right w:val="single" w:color="auto" w:sz="4" w:space="0"/>
            </w:tcBorders>
            <w:vAlign w:val="center"/>
          </w:tcPr>
          <w:p w14:paraId="76338A62">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市级投资项目审核过程中或结束后，需对工程节约投资、优化管理、指标控制等方面存在的共性问题进行总结提炼，形成相关经验成果，包括重要控制指标、重点专题审核、典型审核案例等。需提出落实协审成果转化的方案，明确具体举措，包括但不限于问题发现途径、平时关注点、日常控制点、相关人员配备等。</w:t>
            </w:r>
          </w:p>
          <w:p w14:paraId="6075733C">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（1）方案清晰、合理、详细、全面、针对性强、可行性强的 ，得5分；</w:t>
            </w:r>
          </w:p>
          <w:p w14:paraId="57BB34F0">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（2）方案较清晰、较合理、较详细、较全面、针对性较强、可行性较强的，得3分；</w:t>
            </w:r>
          </w:p>
          <w:p w14:paraId="245FFB48">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（3）方案粗糙、针对性一般、可行性一般的，得1分；</w:t>
            </w:r>
          </w:p>
          <w:p w14:paraId="369E8F6A">
            <w:pPr>
              <w:spacing w:line="360" w:lineRule="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（4）其余情况不得分。</w:t>
            </w:r>
          </w:p>
        </w:tc>
      </w:tr>
      <w:tr w14:paraId="2A846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0C73FBCF">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4E202A5F">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254" w:type="dxa"/>
            <w:tcBorders>
              <w:top w:val="single" w:color="auto" w:sz="4" w:space="0"/>
              <w:left w:val="single" w:color="auto" w:sz="4" w:space="0"/>
              <w:bottom w:val="single" w:color="auto" w:sz="4" w:space="0"/>
              <w:right w:val="single" w:color="auto" w:sz="4" w:space="0"/>
            </w:tcBorders>
            <w:vAlign w:val="center"/>
          </w:tcPr>
          <w:p w14:paraId="2DBBE2A8">
            <w:pPr>
              <w:spacing w:line="360" w:lineRule="auto"/>
              <w:jc w:val="center"/>
              <w:rPr>
                <w:rFonts w:hint="eastAsia" w:ascii="宋体" w:hAnsi="宋体" w:eastAsia="宋体" w:cs="宋体"/>
                <w:b/>
                <w:bCs/>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档案整理与管理</w:t>
            </w:r>
          </w:p>
        </w:tc>
        <w:tc>
          <w:tcPr>
            <w:tcW w:w="611" w:type="dxa"/>
            <w:tcBorders>
              <w:top w:val="single" w:color="auto" w:sz="4" w:space="0"/>
              <w:left w:val="single" w:color="auto" w:sz="4" w:space="0"/>
              <w:bottom w:val="single" w:color="auto" w:sz="4" w:space="0"/>
              <w:right w:val="single" w:color="auto" w:sz="4" w:space="0"/>
            </w:tcBorders>
            <w:vAlign w:val="center"/>
          </w:tcPr>
          <w:p w14:paraId="75FFD70C">
            <w:pPr>
              <w:spacing w:line="360" w:lineRule="auto"/>
              <w:jc w:val="center"/>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5分</w:t>
            </w:r>
          </w:p>
        </w:tc>
        <w:tc>
          <w:tcPr>
            <w:tcW w:w="6561" w:type="dxa"/>
            <w:tcBorders>
              <w:top w:val="single" w:color="auto" w:sz="4" w:space="0"/>
              <w:left w:val="single" w:color="auto" w:sz="4" w:space="0"/>
              <w:bottom w:val="single" w:color="auto" w:sz="4" w:space="0"/>
              <w:right w:val="single" w:color="auto" w:sz="4" w:space="0"/>
            </w:tcBorders>
            <w:vAlign w:val="center"/>
          </w:tcPr>
          <w:p w14:paraId="30256465">
            <w:pPr>
              <w:spacing w:line="360" w:lineRule="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供应商须设立档案整理与管理制度，包括但不限于明确</w:t>
            </w:r>
            <w:r>
              <w:rPr>
                <w:rFonts w:hint="eastAsia" w:ascii="宋体" w:hAnsi="宋体" w:eastAsia="宋体" w:cs="宋体"/>
                <w:color w:val="auto"/>
                <w:sz w:val="24"/>
                <w:szCs w:val="24"/>
                <w:highlight w:val="none"/>
                <w:shd w:val="clear" w:color="auto" w:fill="auto"/>
              </w:rPr>
              <w:t>档案管理的责任单位、要求、归档文件制度的建立情况</w:t>
            </w:r>
            <w:r>
              <w:rPr>
                <w:rFonts w:hint="eastAsia" w:ascii="宋体" w:hAnsi="宋体" w:eastAsia="宋体" w:cs="宋体"/>
                <w:color w:val="auto"/>
                <w:sz w:val="24"/>
                <w:szCs w:val="24"/>
                <w:highlight w:val="none"/>
                <w:shd w:val="clear" w:color="auto" w:fill="auto"/>
                <w:lang w:val="en-US" w:eastAsia="zh-CN"/>
              </w:rPr>
              <w:t>等</w:t>
            </w:r>
            <w:r>
              <w:rPr>
                <w:rFonts w:hint="eastAsia" w:ascii="宋体" w:hAnsi="宋体" w:eastAsia="宋体" w:cs="宋体"/>
                <w:color w:val="auto"/>
                <w:sz w:val="24"/>
                <w:szCs w:val="24"/>
                <w:highlight w:val="none"/>
                <w:shd w:val="clear" w:color="auto" w:fill="auto"/>
              </w:rPr>
              <w:t>。</w:t>
            </w:r>
          </w:p>
          <w:p w14:paraId="06AA1DE2">
            <w:pPr>
              <w:spacing w:line="360" w:lineRule="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1</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有档案管理制度，表述清晰，可操作性</w:t>
            </w:r>
            <w:r>
              <w:rPr>
                <w:rFonts w:hint="eastAsia" w:ascii="宋体" w:hAnsi="宋体" w:eastAsia="宋体" w:cs="宋体"/>
                <w:color w:val="auto"/>
                <w:sz w:val="24"/>
                <w:szCs w:val="24"/>
                <w:highlight w:val="none"/>
                <w:shd w:val="clear" w:color="auto" w:fill="auto"/>
                <w:lang w:val="en-US" w:eastAsia="zh-CN"/>
              </w:rPr>
              <w:t>强</w:t>
            </w:r>
            <w:r>
              <w:rPr>
                <w:rFonts w:hint="eastAsia" w:ascii="宋体" w:hAnsi="宋体" w:eastAsia="宋体" w:cs="宋体"/>
                <w:color w:val="auto"/>
                <w:sz w:val="24"/>
                <w:szCs w:val="24"/>
                <w:highlight w:val="none"/>
                <w:shd w:val="clear" w:color="auto" w:fill="auto"/>
              </w:rPr>
              <w:t>，且提供20</w:t>
            </w:r>
            <w:r>
              <w:rPr>
                <w:rFonts w:hint="eastAsia" w:ascii="宋体" w:hAnsi="宋体" w:eastAsia="宋体" w:cs="宋体"/>
                <w:color w:val="auto"/>
                <w:sz w:val="24"/>
                <w:szCs w:val="24"/>
                <w:highlight w:val="none"/>
                <w:shd w:val="clear" w:color="auto" w:fill="auto"/>
                <w:lang w:val="en-US" w:eastAsia="zh-CN"/>
              </w:rPr>
              <w:t>23</w:t>
            </w:r>
            <w:r>
              <w:rPr>
                <w:rFonts w:hint="eastAsia" w:ascii="宋体" w:hAnsi="宋体" w:eastAsia="宋体" w:cs="宋体"/>
                <w:color w:val="auto"/>
                <w:sz w:val="24"/>
                <w:szCs w:val="24"/>
                <w:highlight w:val="none"/>
                <w:shd w:val="clear" w:color="auto" w:fill="auto"/>
              </w:rPr>
              <w:t>年台账的</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得</w:t>
            </w:r>
            <w:r>
              <w:rPr>
                <w:rFonts w:hint="eastAsia" w:ascii="宋体" w:hAnsi="宋体" w:eastAsia="宋体" w:cs="宋体"/>
                <w:color w:val="auto"/>
                <w:sz w:val="24"/>
                <w:szCs w:val="24"/>
                <w:highlight w:val="none"/>
                <w:shd w:val="clear" w:color="auto" w:fill="auto"/>
                <w:lang w:val="en-US" w:eastAsia="zh-CN"/>
              </w:rPr>
              <w:t>5</w:t>
            </w:r>
            <w:r>
              <w:rPr>
                <w:rFonts w:hint="eastAsia" w:ascii="宋体" w:hAnsi="宋体" w:eastAsia="宋体" w:cs="宋体"/>
                <w:color w:val="auto"/>
                <w:sz w:val="24"/>
                <w:szCs w:val="24"/>
                <w:highlight w:val="none"/>
                <w:shd w:val="clear" w:color="auto" w:fill="auto"/>
              </w:rPr>
              <w:t>分；</w:t>
            </w:r>
          </w:p>
          <w:p w14:paraId="1591500F">
            <w:pPr>
              <w:spacing w:line="360" w:lineRule="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2</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有档案管理制度，表述</w:t>
            </w:r>
            <w:r>
              <w:rPr>
                <w:rFonts w:hint="eastAsia" w:ascii="宋体" w:hAnsi="宋体" w:eastAsia="宋体" w:cs="宋体"/>
                <w:color w:val="auto"/>
                <w:sz w:val="24"/>
                <w:szCs w:val="24"/>
                <w:highlight w:val="none"/>
                <w:shd w:val="clear" w:color="auto" w:fill="auto"/>
                <w:lang w:val="en-US" w:eastAsia="zh-CN"/>
              </w:rPr>
              <w:t>较为</w:t>
            </w:r>
            <w:r>
              <w:rPr>
                <w:rFonts w:hint="eastAsia" w:ascii="宋体" w:hAnsi="宋体" w:eastAsia="宋体" w:cs="宋体"/>
                <w:color w:val="auto"/>
                <w:sz w:val="24"/>
                <w:szCs w:val="24"/>
                <w:highlight w:val="none"/>
                <w:shd w:val="clear" w:color="auto" w:fill="auto"/>
              </w:rPr>
              <w:t>清晰，具备较强可操作性的</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得</w:t>
            </w:r>
            <w:r>
              <w:rPr>
                <w:rFonts w:hint="eastAsia" w:ascii="宋体" w:hAnsi="宋体" w:eastAsia="宋体" w:cs="宋体"/>
                <w:color w:val="auto"/>
                <w:sz w:val="24"/>
                <w:szCs w:val="24"/>
                <w:highlight w:val="none"/>
                <w:shd w:val="clear" w:color="auto" w:fill="auto"/>
                <w:lang w:val="en-US" w:eastAsia="zh-CN"/>
              </w:rPr>
              <w:t>3</w:t>
            </w:r>
            <w:r>
              <w:rPr>
                <w:rFonts w:hint="eastAsia" w:ascii="宋体" w:hAnsi="宋体" w:eastAsia="宋体" w:cs="宋体"/>
                <w:color w:val="auto"/>
                <w:sz w:val="24"/>
                <w:szCs w:val="24"/>
                <w:highlight w:val="none"/>
                <w:shd w:val="clear" w:color="auto" w:fill="auto"/>
              </w:rPr>
              <w:t>分；</w:t>
            </w:r>
          </w:p>
          <w:p w14:paraId="6D0BD820">
            <w:pPr>
              <w:spacing w:line="360" w:lineRule="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3</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有档案管理制度，表述模糊，可操作性一般的</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得</w:t>
            </w:r>
            <w:r>
              <w:rPr>
                <w:rFonts w:hint="eastAsia" w:ascii="宋体" w:hAnsi="宋体" w:eastAsia="宋体" w:cs="宋体"/>
                <w:color w:val="auto"/>
                <w:sz w:val="24"/>
                <w:szCs w:val="24"/>
                <w:highlight w:val="none"/>
                <w:shd w:val="clear" w:color="auto" w:fill="auto"/>
                <w:lang w:val="en-US" w:eastAsia="zh-CN"/>
              </w:rPr>
              <w:t>1</w:t>
            </w:r>
            <w:r>
              <w:rPr>
                <w:rFonts w:hint="eastAsia" w:ascii="宋体" w:hAnsi="宋体" w:eastAsia="宋体" w:cs="宋体"/>
                <w:color w:val="auto"/>
                <w:sz w:val="24"/>
                <w:szCs w:val="24"/>
                <w:highlight w:val="none"/>
                <w:shd w:val="clear" w:color="auto" w:fill="auto"/>
              </w:rPr>
              <w:t>分；</w:t>
            </w:r>
          </w:p>
          <w:p w14:paraId="6039411A">
            <w:pPr>
              <w:spacing w:line="360" w:lineRule="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（4）其余情况不得分</w:t>
            </w:r>
            <w:r>
              <w:rPr>
                <w:rFonts w:hint="eastAsia" w:ascii="宋体" w:hAnsi="宋体" w:eastAsia="宋体" w:cs="宋体"/>
                <w:color w:val="auto"/>
                <w:sz w:val="24"/>
                <w:szCs w:val="24"/>
                <w:highlight w:val="none"/>
                <w:shd w:val="clear" w:color="auto" w:fill="auto"/>
              </w:rPr>
              <w:t>。</w:t>
            </w:r>
          </w:p>
        </w:tc>
      </w:tr>
      <w:tr w14:paraId="292D6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bottom w:val="single" w:color="auto" w:sz="4" w:space="0"/>
              <w:right w:val="single" w:color="auto" w:sz="4" w:space="0"/>
            </w:tcBorders>
            <w:vAlign w:val="center"/>
          </w:tcPr>
          <w:p w14:paraId="46A3F1AA">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4CAF7A75">
            <w:pPr>
              <w:spacing w:line="240" w:lineRule="auto"/>
              <w:ind w:firstLine="0" w:firstLineChars="0"/>
              <w:jc w:val="center"/>
              <w:rPr>
                <w:rFonts w:hint="eastAsia" w:ascii="宋体" w:hAnsi="宋体" w:eastAsia="宋体" w:cs="宋体"/>
                <w:color w:val="auto"/>
                <w:sz w:val="24"/>
                <w:szCs w:val="24"/>
                <w:highlight w:val="none"/>
                <w:lang w:val="en-US" w:eastAsia="zh-CN"/>
              </w:rPr>
            </w:pPr>
            <w:r>
              <w:rPr>
                <w:rFonts w:hint="eastAsia" w:ascii="仿宋_GB2312" w:hAnsi="仿宋_GB2312" w:eastAsia="仿宋_GB2312" w:cs="仿宋_GB2312"/>
                <w:color w:val="auto"/>
                <w:sz w:val="21"/>
                <w:szCs w:val="21"/>
                <w:highlight w:val="none"/>
                <w:lang w:val="en-US" w:eastAsia="zh-CN"/>
              </w:rPr>
              <w:t>5</w:t>
            </w:r>
          </w:p>
        </w:tc>
        <w:tc>
          <w:tcPr>
            <w:tcW w:w="1254" w:type="dxa"/>
            <w:tcBorders>
              <w:top w:val="single" w:color="auto" w:sz="4" w:space="0"/>
              <w:left w:val="single" w:color="auto" w:sz="4" w:space="0"/>
              <w:bottom w:val="single" w:color="auto" w:sz="4" w:space="0"/>
              <w:right w:val="single" w:color="auto" w:sz="4" w:space="0"/>
            </w:tcBorders>
            <w:vAlign w:val="center"/>
          </w:tcPr>
          <w:p w14:paraId="35ACA5DF">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应急处理方案</w:t>
            </w:r>
          </w:p>
        </w:tc>
        <w:tc>
          <w:tcPr>
            <w:tcW w:w="611" w:type="dxa"/>
            <w:tcBorders>
              <w:top w:val="single" w:color="auto" w:sz="4" w:space="0"/>
              <w:left w:val="single" w:color="auto" w:sz="4" w:space="0"/>
              <w:bottom w:val="single" w:color="auto" w:sz="4" w:space="0"/>
              <w:right w:val="single" w:color="auto" w:sz="4" w:space="0"/>
            </w:tcBorders>
            <w:vAlign w:val="center"/>
          </w:tcPr>
          <w:p w14:paraId="42B3E139">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w:t>
            </w:r>
          </w:p>
        </w:tc>
        <w:tc>
          <w:tcPr>
            <w:tcW w:w="6561" w:type="dxa"/>
            <w:tcBorders>
              <w:top w:val="single" w:color="auto" w:sz="4" w:space="0"/>
              <w:left w:val="single" w:color="auto" w:sz="4" w:space="0"/>
              <w:bottom w:val="single" w:color="auto" w:sz="4" w:space="0"/>
              <w:right w:val="single" w:color="auto" w:sz="4" w:space="0"/>
            </w:tcBorders>
            <w:vAlign w:val="top"/>
          </w:tcPr>
          <w:p w14:paraId="2B20F428">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根据各</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针对</w:t>
            </w:r>
            <w:r>
              <w:rPr>
                <w:rFonts w:hint="eastAsia" w:ascii="宋体" w:hAnsi="宋体" w:eastAsia="宋体" w:cs="宋体"/>
                <w:color w:val="auto"/>
                <w:sz w:val="24"/>
                <w:szCs w:val="24"/>
                <w:highlight w:val="none"/>
                <w:lang w:val="en-US" w:eastAsia="zh-CN"/>
              </w:rPr>
              <w:t>协审工作</w:t>
            </w:r>
            <w:r>
              <w:rPr>
                <w:rFonts w:hint="eastAsia" w:ascii="宋体" w:hAnsi="宋体" w:eastAsia="宋体" w:cs="宋体"/>
                <w:color w:val="auto"/>
                <w:sz w:val="24"/>
                <w:szCs w:val="24"/>
                <w:highlight w:val="none"/>
              </w:rPr>
              <w:t>的应急处理方案的优劣程度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包括</w:t>
            </w:r>
            <w:r>
              <w:rPr>
                <w:rFonts w:hint="eastAsia" w:ascii="宋体" w:hAnsi="宋体" w:eastAsia="宋体" w:cs="宋体"/>
                <w:color w:val="auto"/>
                <w:sz w:val="24"/>
                <w:szCs w:val="24"/>
                <w:highlight w:val="none"/>
              </w:rPr>
              <w:t>项目协审人员驻场及现场响应时间、与参建各方面的沟通协调</w:t>
            </w:r>
            <w:r>
              <w:rPr>
                <w:rFonts w:hint="eastAsia" w:ascii="宋体" w:hAnsi="宋体" w:eastAsia="宋体" w:cs="宋体"/>
                <w:color w:val="auto"/>
                <w:sz w:val="24"/>
                <w:szCs w:val="24"/>
                <w:highlight w:val="none"/>
                <w:lang w:val="en-US" w:eastAsia="zh-CN"/>
              </w:rPr>
              <w:t>能力</w:t>
            </w:r>
            <w:r>
              <w:rPr>
                <w:rFonts w:hint="eastAsia" w:ascii="宋体" w:hAnsi="宋体" w:eastAsia="宋体" w:cs="宋体"/>
                <w:color w:val="auto"/>
                <w:sz w:val="24"/>
                <w:szCs w:val="24"/>
                <w:highlight w:val="none"/>
              </w:rPr>
              <w:t>及所在地开展协审工作的保障措施（包括人员、设备等）</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进行评审：</w:t>
            </w:r>
          </w:p>
          <w:p w14:paraId="5E2CC64F">
            <w:pPr>
              <w:numPr>
                <w:ilvl w:val="0"/>
                <w:numId w:val="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方案中内容清晰、合理、详细、全面、针对性强、可行性强的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得5</w:t>
            </w:r>
            <w:r>
              <w:rPr>
                <w:rFonts w:hint="eastAsia" w:ascii="宋体" w:hAnsi="宋体" w:eastAsia="宋体" w:cs="宋体"/>
                <w:color w:val="auto"/>
                <w:sz w:val="24"/>
                <w:szCs w:val="24"/>
                <w:highlight w:val="none"/>
              </w:rPr>
              <w:t>分；</w:t>
            </w:r>
          </w:p>
          <w:p w14:paraId="7F2375B9">
            <w:pPr>
              <w:numPr>
                <w:ilvl w:val="0"/>
                <w:numId w:val="0"/>
              </w:num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内容较清晰、较合理、较详细、较全面、针对性较强、可行性较强的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得3</w:t>
            </w:r>
            <w:r>
              <w:rPr>
                <w:rFonts w:hint="eastAsia" w:ascii="宋体" w:hAnsi="宋体" w:eastAsia="宋体" w:cs="宋体"/>
                <w:color w:val="auto"/>
                <w:sz w:val="24"/>
                <w:szCs w:val="24"/>
                <w:highlight w:val="none"/>
              </w:rPr>
              <w:t>分；</w:t>
            </w:r>
          </w:p>
          <w:p w14:paraId="1D5ABC99">
            <w:pPr>
              <w:numPr>
                <w:ilvl w:val="0"/>
                <w:numId w:val="0"/>
              </w:num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内容基本全面、针对性一般、可行性一般的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得1</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p>
          <w:p w14:paraId="0C20FE79">
            <w:pPr>
              <w:pStyle w:val="28"/>
              <w:rPr>
                <w:rFonts w:hint="eastAsia"/>
                <w:color w:val="auto"/>
                <w:highlight w:val="none"/>
                <w:lang w:val="en-US" w:eastAsia="zh-CN"/>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shd w:val="clear" w:color="auto" w:fill="auto"/>
                <w:lang w:val="en-US" w:eastAsia="zh-CN"/>
              </w:rPr>
              <w:t>其余情况不得分</w:t>
            </w:r>
            <w:r>
              <w:rPr>
                <w:rFonts w:hint="eastAsia" w:ascii="宋体" w:hAnsi="宋体" w:eastAsia="宋体" w:cs="宋体"/>
                <w:color w:val="auto"/>
                <w:sz w:val="24"/>
                <w:szCs w:val="24"/>
                <w:highlight w:val="none"/>
                <w:shd w:val="clear" w:color="auto" w:fill="auto"/>
              </w:rPr>
              <w:t>。</w:t>
            </w:r>
          </w:p>
        </w:tc>
      </w:tr>
      <w:tr w14:paraId="65D3E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restart"/>
            <w:tcBorders>
              <w:top w:val="single" w:color="auto" w:sz="4" w:space="0"/>
              <w:left w:val="single" w:color="auto" w:sz="4" w:space="0"/>
              <w:right w:val="single" w:color="auto" w:sz="4" w:space="0"/>
            </w:tcBorders>
            <w:vAlign w:val="center"/>
          </w:tcPr>
          <w:p w14:paraId="2C712968">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客观评审因素</w:t>
            </w:r>
          </w:p>
          <w:p w14:paraId="73CF297F">
            <w:pPr>
              <w:spacing w:line="360" w:lineRule="auto"/>
              <w:jc w:val="center"/>
              <w:rPr>
                <w:rFonts w:hint="eastAsia" w:ascii="宋体" w:hAnsi="宋体" w:eastAsia="宋体" w:cs="宋体"/>
                <w:color w:val="auto"/>
                <w:sz w:val="24"/>
                <w:szCs w:val="24"/>
                <w:highlight w:val="none"/>
              </w:rPr>
            </w:pPr>
          </w:p>
          <w:p w14:paraId="5F608D17">
            <w:pPr>
              <w:widowControl/>
              <w:spacing w:line="360" w:lineRule="auto"/>
              <w:jc w:val="left"/>
              <w:rPr>
                <w:rFonts w:hint="eastAsia" w:ascii="宋体" w:hAnsi="宋体" w:eastAsia="宋体" w:cs="宋体"/>
                <w:color w:val="auto"/>
                <w:sz w:val="24"/>
                <w:szCs w:val="24"/>
                <w:highlight w:val="none"/>
              </w:rPr>
            </w:pPr>
          </w:p>
          <w:p w14:paraId="42BCBC11">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2439FDB9">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254" w:type="dxa"/>
            <w:tcBorders>
              <w:top w:val="single" w:color="auto" w:sz="4" w:space="0"/>
              <w:left w:val="single" w:color="auto" w:sz="4" w:space="0"/>
              <w:bottom w:val="single" w:color="auto" w:sz="4" w:space="0"/>
              <w:right w:val="single" w:color="auto" w:sz="4" w:space="0"/>
            </w:tcBorders>
            <w:vAlign w:val="center"/>
          </w:tcPr>
          <w:p w14:paraId="0E981C6B">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企业业绩</w:t>
            </w:r>
          </w:p>
        </w:tc>
        <w:tc>
          <w:tcPr>
            <w:tcW w:w="611" w:type="dxa"/>
            <w:tcBorders>
              <w:top w:val="single" w:color="auto" w:sz="4" w:space="0"/>
              <w:left w:val="single" w:color="auto" w:sz="4" w:space="0"/>
              <w:bottom w:val="single" w:color="auto" w:sz="4" w:space="0"/>
              <w:right w:val="single" w:color="auto" w:sz="4" w:space="0"/>
            </w:tcBorders>
            <w:vAlign w:val="center"/>
          </w:tcPr>
          <w:p w14:paraId="0D2E034B">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c>
          <w:tcPr>
            <w:tcW w:w="6561" w:type="dxa"/>
            <w:tcBorders>
              <w:top w:val="single" w:color="auto" w:sz="4" w:space="0"/>
              <w:left w:val="single" w:color="auto" w:sz="4" w:space="0"/>
              <w:bottom w:val="single" w:color="auto" w:sz="4" w:space="0"/>
              <w:right w:val="single" w:color="auto" w:sz="4" w:space="0"/>
            </w:tcBorders>
            <w:vAlign w:val="center"/>
          </w:tcPr>
          <w:p w14:paraId="246AE494">
            <w:pPr>
              <w:spacing w:line="360" w:lineRule="auto"/>
              <w:rPr>
                <w:rFonts w:ascii="宋体" w:hAnsi="宋体" w:cs="宋体"/>
                <w:b/>
                <w:bCs/>
                <w:color w:val="auto"/>
                <w:sz w:val="24"/>
                <w:szCs w:val="24"/>
                <w:highlight w:val="none"/>
              </w:rPr>
            </w:pPr>
            <w:r>
              <w:rPr>
                <w:rFonts w:hint="eastAsia" w:ascii="宋体" w:hAnsi="宋体" w:cs="宋体"/>
                <w:color w:val="auto"/>
                <w:sz w:val="24"/>
                <w:szCs w:val="24"/>
                <w:highlight w:val="none"/>
              </w:rPr>
              <w:t>自202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年1月1日以来</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承担过</w:t>
            </w:r>
            <w:r>
              <w:rPr>
                <w:rFonts w:hint="eastAsia" w:ascii="宋体" w:hAnsi="宋体" w:cs="宋体"/>
                <w:color w:val="auto"/>
                <w:sz w:val="24"/>
                <w:highlight w:val="none"/>
              </w:rPr>
              <w:t>政府</w:t>
            </w:r>
            <w:r>
              <w:rPr>
                <w:rFonts w:hint="eastAsia" w:ascii="宋体" w:hAnsi="宋体" w:cs="宋体"/>
                <w:color w:val="auto"/>
                <w:sz w:val="24"/>
                <w:highlight w:val="none"/>
                <w:lang w:val="en-US" w:eastAsia="zh-CN"/>
              </w:rPr>
              <w:t>或国企投资的</w:t>
            </w:r>
            <w:r>
              <w:rPr>
                <w:rFonts w:hint="eastAsia" w:ascii="宋体" w:hAnsi="宋体" w:cs="宋体"/>
                <w:color w:val="auto"/>
                <w:sz w:val="24"/>
                <w:highlight w:val="none"/>
              </w:rPr>
              <w:t>项目概算审核</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控制价审核</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政府采购价格审核的</w:t>
            </w:r>
            <w:r>
              <w:rPr>
                <w:rFonts w:hint="eastAsia" w:ascii="宋体" w:hAnsi="宋体" w:cs="宋体"/>
                <w:color w:val="auto"/>
                <w:sz w:val="24"/>
                <w:szCs w:val="24"/>
                <w:highlight w:val="none"/>
              </w:rPr>
              <w:t>，</w:t>
            </w:r>
            <w:r>
              <w:rPr>
                <w:rFonts w:hint="eastAsia" w:ascii="宋体" w:hAnsi="宋体" w:cs="宋体"/>
                <w:b/>
                <w:bCs/>
                <w:color w:val="auto"/>
                <w:sz w:val="24"/>
                <w:szCs w:val="24"/>
                <w:highlight w:val="none"/>
                <w:lang w:val="en-US" w:eastAsia="zh-CN"/>
              </w:rPr>
              <w:t>有一个得2分</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rPr>
              <w:t>最多提供</w:t>
            </w:r>
            <w:r>
              <w:rPr>
                <w:rFonts w:hint="eastAsia" w:ascii="宋体" w:hAnsi="宋体" w:cs="宋体"/>
                <w:b/>
                <w:bCs/>
                <w:color w:val="auto"/>
                <w:sz w:val="24"/>
                <w:szCs w:val="24"/>
                <w:highlight w:val="none"/>
                <w:lang w:val="en-US" w:eastAsia="zh-CN"/>
              </w:rPr>
              <w:t>4</w:t>
            </w:r>
            <w:r>
              <w:rPr>
                <w:rFonts w:hint="eastAsia" w:ascii="宋体" w:hAnsi="宋体" w:cs="宋体"/>
                <w:b/>
                <w:bCs/>
                <w:color w:val="auto"/>
                <w:sz w:val="24"/>
                <w:szCs w:val="24"/>
                <w:highlight w:val="none"/>
              </w:rPr>
              <w:t>个</w:t>
            </w:r>
            <w:r>
              <w:rPr>
                <w:rFonts w:hint="eastAsia" w:ascii="宋体" w:hAnsi="宋体" w:cs="宋体"/>
                <w:b/>
                <w:bCs/>
                <w:color w:val="auto"/>
                <w:sz w:val="24"/>
                <w:szCs w:val="24"/>
                <w:highlight w:val="none"/>
                <w:lang w:eastAsia="zh-CN"/>
              </w:rPr>
              <w:t>。</w:t>
            </w:r>
            <w:r>
              <w:rPr>
                <w:rFonts w:hint="eastAsia"/>
                <w:b/>
                <w:bCs/>
                <w:color w:val="auto"/>
                <w:sz w:val="24"/>
                <w:szCs w:val="24"/>
                <w:highlight w:val="none"/>
                <w:lang w:val="en-US" w:eastAsia="zh-CN"/>
              </w:rPr>
              <w:t>本项</w:t>
            </w:r>
            <w:r>
              <w:rPr>
                <w:rFonts w:hint="eastAsia" w:ascii="宋体" w:hAnsi="宋体" w:cs="宋体"/>
                <w:b/>
                <w:bCs/>
                <w:color w:val="auto"/>
                <w:sz w:val="24"/>
                <w:szCs w:val="24"/>
                <w:highlight w:val="none"/>
              </w:rPr>
              <w:t>最多得</w:t>
            </w:r>
            <w:r>
              <w:rPr>
                <w:rFonts w:hint="eastAsia" w:ascii="宋体" w:hAnsi="宋体" w:cs="宋体"/>
                <w:b/>
                <w:bCs/>
                <w:color w:val="auto"/>
                <w:sz w:val="24"/>
                <w:szCs w:val="24"/>
                <w:highlight w:val="none"/>
                <w:lang w:val="en-US" w:eastAsia="zh-CN"/>
              </w:rPr>
              <w:t>8</w:t>
            </w:r>
            <w:r>
              <w:rPr>
                <w:rFonts w:hint="eastAsia" w:ascii="宋体" w:hAnsi="宋体" w:cs="宋体"/>
                <w:b/>
                <w:bCs/>
                <w:color w:val="auto"/>
                <w:sz w:val="24"/>
                <w:szCs w:val="24"/>
                <w:highlight w:val="none"/>
              </w:rPr>
              <w:t>分；</w:t>
            </w:r>
          </w:p>
          <w:p w14:paraId="68195149">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供应商</w:t>
            </w:r>
            <w:r>
              <w:rPr>
                <w:rFonts w:hint="eastAsia" w:ascii="宋体" w:hAnsi="宋体" w:cs="宋体"/>
                <w:color w:val="auto"/>
                <w:sz w:val="24"/>
                <w:szCs w:val="24"/>
                <w:highlight w:val="none"/>
                <w:lang w:val="en-US" w:eastAsia="zh-CN"/>
              </w:rPr>
              <w:t>须</w:t>
            </w:r>
            <w:r>
              <w:rPr>
                <w:rFonts w:hint="eastAsia" w:ascii="宋体" w:hAnsi="宋体" w:eastAsia="宋体" w:cs="宋体"/>
                <w:color w:val="auto"/>
                <w:sz w:val="24"/>
                <w:szCs w:val="24"/>
                <w:highlight w:val="none"/>
              </w:rPr>
              <w:t>提供</w:t>
            </w:r>
            <w:r>
              <w:rPr>
                <w:rFonts w:hint="eastAsia" w:ascii="宋体" w:hAnsi="宋体" w:eastAsia="宋体" w:cs="宋体"/>
                <w:b/>
                <w:color w:val="auto"/>
                <w:sz w:val="24"/>
                <w:szCs w:val="24"/>
                <w:highlight w:val="none"/>
              </w:rPr>
              <w:t>由委托单位盖章确认的</w:t>
            </w:r>
            <w:r>
              <w:rPr>
                <w:rFonts w:hint="eastAsia" w:ascii="宋体" w:hAnsi="宋体" w:eastAsia="宋体" w:cs="宋体"/>
                <w:color w:val="auto"/>
                <w:sz w:val="24"/>
                <w:szCs w:val="24"/>
                <w:highlight w:val="none"/>
              </w:rPr>
              <w:t>合同</w:t>
            </w:r>
            <w:r>
              <w:rPr>
                <w:rFonts w:hint="eastAsia" w:ascii="宋体" w:hAnsi="宋体" w:eastAsia="宋体" w:cs="宋体"/>
                <w:color w:val="auto"/>
                <w:sz w:val="24"/>
                <w:szCs w:val="24"/>
                <w:highlight w:val="none"/>
                <w:lang w:val="en-US" w:eastAsia="zh-CN"/>
              </w:rPr>
              <w:t>的</w:t>
            </w:r>
            <w:r>
              <w:rPr>
                <w:rFonts w:hint="eastAsia" w:ascii="宋体" w:hAnsi="宋体" w:eastAsia="宋体" w:cs="宋体"/>
                <w:b/>
                <w:color w:val="auto"/>
                <w:sz w:val="24"/>
                <w:szCs w:val="24"/>
                <w:highlight w:val="none"/>
              </w:rPr>
              <w:t>原件扫描件</w:t>
            </w:r>
            <w:r>
              <w:rPr>
                <w:rFonts w:hint="eastAsia" w:ascii="宋体" w:hAnsi="宋体" w:eastAsia="宋体" w:cs="宋体"/>
                <w:b/>
                <w:bCs/>
                <w:color w:val="auto"/>
                <w:sz w:val="24"/>
                <w:szCs w:val="24"/>
                <w:highlight w:val="none"/>
                <w:lang w:val="en-US" w:eastAsia="zh-CN"/>
              </w:rPr>
              <w:t>和对应业绩的</w:t>
            </w:r>
            <w:r>
              <w:rPr>
                <w:rFonts w:hint="eastAsia" w:ascii="宋体" w:hAnsi="宋体" w:eastAsia="宋体" w:cs="宋体"/>
                <w:color w:val="auto"/>
                <w:sz w:val="24"/>
                <w:szCs w:val="24"/>
                <w:highlight w:val="none"/>
              </w:rPr>
              <w:t>审核成果</w:t>
            </w:r>
            <w:r>
              <w:rPr>
                <w:rFonts w:hint="eastAsia" w:ascii="宋体" w:hAnsi="宋体" w:eastAsia="宋体" w:cs="宋体"/>
                <w:color w:val="auto"/>
                <w:sz w:val="24"/>
                <w:szCs w:val="24"/>
                <w:highlight w:val="none"/>
                <w:lang w:val="en-US" w:eastAsia="zh-CN"/>
              </w:rPr>
              <w:t>的原件扫描件，</w:t>
            </w:r>
            <w:r>
              <w:rPr>
                <w:rFonts w:hint="eastAsia" w:ascii="宋体" w:hAnsi="宋体" w:eastAsia="宋体" w:cs="宋体"/>
                <w:color w:val="auto"/>
                <w:sz w:val="24"/>
                <w:szCs w:val="24"/>
                <w:highlight w:val="none"/>
              </w:rPr>
              <w:t>建设项目的造价咨询服务时间以成果报告为准</w:t>
            </w:r>
            <w:r>
              <w:rPr>
                <w:rFonts w:hint="eastAsia"/>
                <w:color w:val="auto"/>
                <w:sz w:val="24"/>
                <w:szCs w:val="24"/>
                <w:highlight w:val="none"/>
                <w:lang w:eastAsia="zh-CN"/>
              </w:rPr>
              <w:t>，</w:t>
            </w:r>
            <w:r>
              <w:rPr>
                <w:rFonts w:hint="eastAsia"/>
                <w:color w:val="auto"/>
                <w:sz w:val="24"/>
                <w:szCs w:val="24"/>
                <w:highlight w:val="none"/>
                <w:lang w:val="en-US" w:eastAsia="zh-CN"/>
              </w:rPr>
              <w:t>不提供不得分</w:t>
            </w:r>
            <w:r>
              <w:rPr>
                <w:rFonts w:hint="eastAsia" w:ascii="宋体" w:hAnsi="宋体" w:eastAsia="宋体" w:cs="宋体"/>
                <w:color w:val="auto"/>
                <w:sz w:val="24"/>
                <w:szCs w:val="24"/>
                <w:highlight w:val="none"/>
              </w:rPr>
              <w:t>）</w:t>
            </w:r>
          </w:p>
        </w:tc>
      </w:tr>
      <w:tr w14:paraId="5B16E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15CE042A">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58D46FC4">
            <w:pPr>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254" w:type="dxa"/>
            <w:tcBorders>
              <w:top w:val="single" w:color="auto" w:sz="4" w:space="0"/>
              <w:left w:val="single" w:color="auto" w:sz="4" w:space="0"/>
              <w:bottom w:val="single" w:color="auto" w:sz="4" w:space="0"/>
              <w:right w:val="single" w:color="auto" w:sz="4" w:space="0"/>
            </w:tcBorders>
            <w:vAlign w:val="center"/>
          </w:tcPr>
          <w:p w14:paraId="7D3A7035">
            <w:pPr>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人员业绩</w:t>
            </w:r>
          </w:p>
        </w:tc>
        <w:tc>
          <w:tcPr>
            <w:tcW w:w="611" w:type="dxa"/>
            <w:tcBorders>
              <w:top w:val="single" w:color="auto" w:sz="4" w:space="0"/>
              <w:left w:val="single" w:color="auto" w:sz="4" w:space="0"/>
              <w:bottom w:val="single" w:color="auto" w:sz="4" w:space="0"/>
              <w:right w:val="single" w:color="auto" w:sz="4" w:space="0"/>
            </w:tcBorders>
            <w:vAlign w:val="center"/>
          </w:tcPr>
          <w:p w14:paraId="38133D64">
            <w:pPr>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10分</w:t>
            </w:r>
          </w:p>
        </w:tc>
        <w:tc>
          <w:tcPr>
            <w:tcW w:w="6561" w:type="dxa"/>
            <w:tcBorders>
              <w:top w:val="single" w:color="auto" w:sz="4" w:space="0"/>
              <w:left w:val="single" w:color="auto" w:sz="4" w:space="0"/>
              <w:bottom w:val="single" w:color="auto" w:sz="4" w:space="0"/>
              <w:right w:val="single" w:color="auto" w:sz="4" w:space="0"/>
            </w:tcBorders>
            <w:vAlign w:val="center"/>
          </w:tcPr>
          <w:p w14:paraId="550EF44C">
            <w:pPr>
              <w:pStyle w:val="50"/>
              <w:spacing w:line="360" w:lineRule="auto"/>
              <w:ind w:firstLine="0" w:firstLineChars="0"/>
              <w:rPr>
                <w:rFonts w:hint="eastAsia" w:ascii="宋体" w:hAnsi="宋体" w:cs="宋体"/>
                <w:color w:val="auto"/>
                <w:sz w:val="24"/>
                <w:highlight w:val="none"/>
              </w:rPr>
            </w:pPr>
            <w:r>
              <w:rPr>
                <w:rFonts w:hint="eastAsia" w:ascii="宋体" w:hAnsi="宋体" w:eastAsia="宋体" w:cs="宋体"/>
                <w:color w:val="auto"/>
                <w:sz w:val="24"/>
                <w:highlight w:val="none"/>
              </w:rPr>
              <w:t>202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年1月1日以来，拟投入协审人员负责或参与</w:t>
            </w:r>
            <w:r>
              <w:rPr>
                <w:rFonts w:hint="eastAsia" w:ascii="宋体" w:hAnsi="宋体" w:cs="宋体"/>
                <w:color w:val="auto"/>
                <w:sz w:val="24"/>
                <w:highlight w:val="none"/>
              </w:rPr>
              <w:t>政府</w:t>
            </w:r>
            <w:r>
              <w:rPr>
                <w:rFonts w:hint="eastAsia" w:ascii="宋体" w:hAnsi="宋体" w:cs="宋体"/>
                <w:color w:val="auto"/>
                <w:sz w:val="24"/>
                <w:highlight w:val="none"/>
                <w:lang w:val="en-US" w:eastAsia="zh-CN"/>
              </w:rPr>
              <w:t>或国企投资的</w:t>
            </w:r>
            <w:r>
              <w:rPr>
                <w:rFonts w:hint="eastAsia" w:ascii="宋体" w:hAnsi="宋体" w:cs="宋体"/>
                <w:color w:val="auto"/>
                <w:sz w:val="24"/>
                <w:highlight w:val="none"/>
              </w:rPr>
              <w:t>项目概算审核</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控制价审核</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政府采购价格审核的，每一项得</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分。本项最多得</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分</w:t>
            </w:r>
          </w:p>
          <w:p w14:paraId="30F35DCD">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供应商</w:t>
            </w:r>
            <w:r>
              <w:rPr>
                <w:rFonts w:hint="eastAsia" w:ascii="宋体" w:hAnsi="宋体" w:cs="宋体"/>
                <w:color w:val="auto"/>
                <w:sz w:val="24"/>
                <w:szCs w:val="24"/>
                <w:highlight w:val="none"/>
                <w:lang w:val="en-US" w:eastAsia="zh-CN"/>
              </w:rPr>
              <w:t>须</w:t>
            </w:r>
            <w:r>
              <w:rPr>
                <w:rFonts w:hint="eastAsia" w:ascii="宋体" w:hAnsi="宋体" w:eastAsia="宋体" w:cs="宋体"/>
                <w:color w:val="auto"/>
                <w:sz w:val="24"/>
                <w:szCs w:val="24"/>
                <w:highlight w:val="none"/>
              </w:rPr>
              <w:t>提供</w:t>
            </w:r>
            <w:r>
              <w:rPr>
                <w:rFonts w:hint="eastAsia" w:ascii="宋体" w:hAnsi="宋体" w:eastAsia="宋体" w:cs="宋体"/>
                <w:b/>
                <w:color w:val="auto"/>
                <w:sz w:val="24"/>
                <w:szCs w:val="24"/>
                <w:highlight w:val="none"/>
              </w:rPr>
              <w:t>由委托单位盖章确认的</w:t>
            </w:r>
            <w:r>
              <w:rPr>
                <w:rFonts w:hint="eastAsia" w:ascii="宋体" w:hAnsi="宋体" w:eastAsia="宋体" w:cs="宋体"/>
                <w:color w:val="auto"/>
                <w:sz w:val="24"/>
                <w:szCs w:val="24"/>
                <w:highlight w:val="none"/>
              </w:rPr>
              <w:t>合同</w:t>
            </w:r>
            <w:r>
              <w:rPr>
                <w:rFonts w:hint="eastAsia" w:ascii="宋体" w:hAnsi="宋体" w:eastAsia="宋体" w:cs="宋体"/>
                <w:color w:val="auto"/>
                <w:sz w:val="24"/>
                <w:szCs w:val="24"/>
                <w:highlight w:val="none"/>
                <w:lang w:val="en-US" w:eastAsia="zh-CN"/>
              </w:rPr>
              <w:t>的</w:t>
            </w:r>
            <w:r>
              <w:rPr>
                <w:rFonts w:hint="eastAsia" w:ascii="宋体" w:hAnsi="宋体" w:eastAsia="宋体" w:cs="宋体"/>
                <w:b/>
                <w:color w:val="auto"/>
                <w:sz w:val="24"/>
                <w:szCs w:val="24"/>
                <w:highlight w:val="none"/>
              </w:rPr>
              <w:t>原件扫描件</w:t>
            </w:r>
            <w:r>
              <w:rPr>
                <w:rFonts w:hint="eastAsia" w:ascii="宋体" w:hAnsi="宋体" w:eastAsia="宋体" w:cs="宋体"/>
                <w:b/>
                <w:bCs/>
                <w:color w:val="auto"/>
                <w:sz w:val="24"/>
                <w:szCs w:val="24"/>
                <w:highlight w:val="none"/>
                <w:lang w:val="en-US" w:eastAsia="zh-CN"/>
              </w:rPr>
              <w:t>和对应人员业绩的</w:t>
            </w:r>
            <w:r>
              <w:rPr>
                <w:rFonts w:hint="eastAsia" w:ascii="宋体" w:hAnsi="宋体" w:eastAsia="宋体" w:cs="宋体"/>
                <w:color w:val="auto"/>
                <w:sz w:val="24"/>
                <w:szCs w:val="24"/>
                <w:highlight w:val="none"/>
              </w:rPr>
              <w:t>审核成果</w:t>
            </w:r>
            <w:r>
              <w:rPr>
                <w:rFonts w:hint="eastAsia" w:ascii="宋体" w:hAnsi="宋体" w:eastAsia="宋体" w:cs="宋体"/>
                <w:color w:val="auto"/>
                <w:sz w:val="24"/>
                <w:szCs w:val="24"/>
                <w:highlight w:val="none"/>
                <w:lang w:val="en-US" w:eastAsia="zh-CN"/>
              </w:rPr>
              <w:t>的原件扫描件，</w:t>
            </w:r>
            <w:r>
              <w:rPr>
                <w:rFonts w:hint="eastAsia" w:ascii="宋体" w:hAnsi="宋体" w:eastAsia="宋体" w:cs="宋体"/>
                <w:b/>
                <w:bCs/>
                <w:color w:val="auto"/>
                <w:sz w:val="24"/>
                <w:szCs w:val="24"/>
                <w:highlight w:val="none"/>
              </w:rPr>
              <w:t>建设</w:t>
            </w:r>
            <w:r>
              <w:rPr>
                <w:rFonts w:hint="eastAsia" w:ascii="宋体" w:hAnsi="宋体" w:eastAsia="宋体" w:cs="宋体"/>
                <w:color w:val="auto"/>
                <w:sz w:val="24"/>
                <w:szCs w:val="24"/>
                <w:highlight w:val="none"/>
              </w:rPr>
              <w:t>项目的造价咨询服务时间以成果报告为准</w:t>
            </w:r>
            <w:r>
              <w:rPr>
                <w:rFonts w:hint="eastAsia"/>
                <w:color w:val="auto"/>
                <w:sz w:val="24"/>
                <w:szCs w:val="24"/>
                <w:highlight w:val="none"/>
                <w:lang w:eastAsia="zh-CN"/>
              </w:rPr>
              <w:t>，</w:t>
            </w:r>
            <w:r>
              <w:rPr>
                <w:rFonts w:hint="eastAsia"/>
                <w:color w:val="auto"/>
                <w:sz w:val="24"/>
                <w:szCs w:val="24"/>
                <w:highlight w:val="none"/>
                <w:lang w:val="en-US" w:eastAsia="zh-CN"/>
              </w:rPr>
              <w:t>不提供不得分</w:t>
            </w:r>
            <w:r>
              <w:rPr>
                <w:rFonts w:hint="eastAsia" w:ascii="宋体" w:hAnsi="宋体" w:eastAsia="宋体" w:cs="宋体"/>
                <w:color w:val="auto"/>
                <w:sz w:val="24"/>
                <w:szCs w:val="24"/>
                <w:highlight w:val="none"/>
              </w:rPr>
              <w:t>）</w:t>
            </w:r>
          </w:p>
          <w:p w14:paraId="0187E535">
            <w:pPr>
              <w:pStyle w:val="50"/>
              <w:spacing w:line="360" w:lineRule="auto"/>
              <w:ind w:firstLine="0" w:firstLineChars="0"/>
              <w:rPr>
                <w:rFonts w:hint="eastAsia" w:ascii="宋体" w:hAnsi="宋体" w:cs="宋体"/>
                <w:color w:val="auto"/>
                <w:sz w:val="24"/>
                <w:highlight w:val="none"/>
              </w:rPr>
            </w:pPr>
            <w:r>
              <w:rPr>
                <w:rFonts w:hint="eastAsia" w:ascii="宋体" w:hAnsi="宋体" w:eastAsia="宋体" w:cs="宋体"/>
                <w:b/>
                <w:bCs/>
                <w:color w:val="auto"/>
                <w:sz w:val="24"/>
                <w:szCs w:val="24"/>
                <w:highlight w:val="none"/>
              </w:rPr>
              <w:t>注：</w:t>
            </w:r>
            <w:r>
              <w:rPr>
                <w:rFonts w:hint="eastAsia" w:eastAsia="宋体" w:cs="宋体"/>
                <w:b/>
                <w:bCs/>
                <w:color w:val="auto"/>
                <w:sz w:val="24"/>
                <w:szCs w:val="24"/>
                <w:highlight w:val="none"/>
                <w:lang w:eastAsia="zh-CN"/>
              </w:rPr>
              <w:t>供应商</w:t>
            </w:r>
            <w:r>
              <w:rPr>
                <w:rFonts w:hint="eastAsia" w:ascii="宋体" w:hAnsi="宋体" w:eastAsia="宋体" w:cs="宋体"/>
                <w:b/>
                <w:bCs/>
                <w:color w:val="auto"/>
                <w:sz w:val="24"/>
                <w:szCs w:val="24"/>
                <w:highlight w:val="none"/>
              </w:rPr>
              <w:t>提供的同一份业绩不可重复得分。</w:t>
            </w:r>
          </w:p>
        </w:tc>
      </w:tr>
      <w:tr w14:paraId="64867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38D1A947">
            <w:pPr>
              <w:spacing w:line="360" w:lineRule="auto"/>
              <w:jc w:val="center"/>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216F8531">
            <w:pPr>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254" w:type="dxa"/>
            <w:tcBorders>
              <w:top w:val="single" w:color="auto" w:sz="4" w:space="0"/>
              <w:left w:val="single" w:color="auto" w:sz="4" w:space="0"/>
              <w:bottom w:val="single" w:color="auto" w:sz="4" w:space="0"/>
              <w:right w:val="single" w:color="auto" w:sz="4" w:space="0"/>
            </w:tcBorders>
            <w:shd w:val="clear" w:color="auto" w:fill="auto"/>
            <w:vAlign w:val="center"/>
          </w:tcPr>
          <w:p w14:paraId="5A25F65E">
            <w:pPr>
              <w:spacing w:line="360" w:lineRule="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专业人员数量</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0DE77B11">
            <w:pPr>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6分</w:t>
            </w:r>
          </w:p>
        </w:tc>
        <w:tc>
          <w:tcPr>
            <w:tcW w:w="6561" w:type="dxa"/>
            <w:tcBorders>
              <w:top w:val="single" w:color="auto" w:sz="4" w:space="0"/>
              <w:left w:val="single" w:color="auto" w:sz="4" w:space="0"/>
              <w:bottom w:val="single" w:color="auto" w:sz="4" w:space="0"/>
              <w:right w:val="single" w:color="auto" w:sz="4" w:space="0"/>
            </w:tcBorders>
            <w:shd w:val="clear" w:color="auto" w:fill="auto"/>
            <w:vAlign w:val="center"/>
          </w:tcPr>
          <w:p w14:paraId="4E8015A4">
            <w:pPr>
              <w:numPr>
                <w:ilvl w:val="0"/>
                <w:numId w:val="0"/>
              </w:num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拟</w:t>
            </w:r>
            <w:r>
              <w:rPr>
                <w:rFonts w:hint="eastAsia" w:ascii="宋体" w:hAnsi="宋体" w:eastAsia="宋体" w:cs="宋体"/>
                <w:color w:val="auto"/>
                <w:sz w:val="24"/>
                <w:szCs w:val="24"/>
                <w:highlight w:val="none"/>
                <w:lang w:val="en-US" w:eastAsia="zh-CN"/>
              </w:rPr>
              <w:t>入围</w:t>
            </w:r>
            <w:r>
              <w:rPr>
                <w:rFonts w:hint="eastAsia" w:ascii="宋体" w:hAnsi="宋体" w:eastAsia="宋体" w:cs="宋体"/>
                <w:color w:val="auto"/>
                <w:sz w:val="24"/>
                <w:szCs w:val="24"/>
                <w:highlight w:val="none"/>
              </w:rPr>
              <w:t>机构从事工程造价专业人员</w:t>
            </w:r>
            <w:r>
              <w:rPr>
                <w:rFonts w:hint="eastAsia" w:ascii="宋体" w:hAnsi="宋体" w:eastAsia="宋体" w:cs="宋体"/>
                <w:color w:val="auto"/>
                <w:sz w:val="24"/>
                <w:szCs w:val="24"/>
                <w:highlight w:val="none"/>
                <w:lang w:val="en-US" w:eastAsia="zh-CN"/>
              </w:rPr>
              <w:t>不少于6人，</w:t>
            </w:r>
            <w:r>
              <w:rPr>
                <w:rFonts w:hint="eastAsia" w:ascii="宋体" w:hAnsi="宋体" w:eastAsia="宋体" w:cs="宋体"/>
                <w:color w:val="auto"/>
                <w:sz w:val="24"/>
                <w:highlight w:val="none"/>
              </w:rPr>
              <w:t>专业范围</w:t>
            </w:r>
            <w:r>
              <w:rPr>
                <w:rFonts w:hint="eastAsia" w:ascii="宋体" w:hAnsi="宋体" w:eastAsia="宋体" w:cs="宋体"/>
                <w:color w:val="auto"/>
                <w:sz w:val="24"/>
                <w:highlight w:val="none"/>
                <w:lang w:val="en-US" w:eastAsia="zh-CN"/>
              </w:rPr>
              <w:t>包</w:t>
            </w:r>
            <w:r>
              <w:rPr>
                <w:rFonts w:hint="eastAsia" w:ascii="宋体" w:hAnsi="宋体" w:eastAsia="宋体" w:cs="宋体"/>
                <w:color w:val="auto"/>
                <w:sz w:val="24"/>
                <w:highlight w:val="none"/>
              </w:rPr>
              <w:t>括土建、安装、交通、水利</w:t>
            </w:r>
            <w:r>
              <w:rPr>
                <w:rFonts w:hint="eastAsia" w:ascii="宋体" w:hAnsi="宋体" w:eastAsia="宋体" w:cs="宋体"/>
                <w:color w:val="auto"/>
                <w:sz w:val="24"/>
                <w:highlight w:val="none"/>
                <w:lang w:eastAsia="zh-CN"/>
              </w:rPr>
              <w:t>。</w:t>
            </w:r>
            <w:r>
              <w:rPr>
                <w:rFonts w:hint="eastAsia" w:ascii="宋体" w:hAnsi="宋体" w:eastAsia="宋体" w:cs="宋体"/>
                <w:color w:val="auto"/>
                <w:sz w:val="24"/>
                <w:szCs w:val="24"/>
                <w:highlight w:val="none"/>
              </w:rPr>
              <w:t>达到标准后，每增加1人，得</w:t>
            </w:r>
            <w:r>
              <w:rPr>
                <w:rFonts w:hint="eastAsia" w:ascii="宋体" w:hAnsi="宋体" w:eastAsia="宋体" w:cs="宋体"/>
                <w:color w:val="auto"/>
                <w:sz w:val="24"/>
                <w:szCs w:val="24"/>
                <w:highlight w:val="none"/>
                <w:lang w:val="en-US" w:eastAsia="zh-CN"/>
              </w:rPr>
              <w:t>0.5</w:t>
            </w:r>
            <w:r>
              <w:rPr>
                <w:rFonts w:hint="eastAsia" w:ascii="宋体" w:hAnsi="宋体" w:eastAsia="宋体" w:cs="宋体"/>
                <w:color w:val="auto"/>
                <w:sz w:val="24"/>
                <w:szCs w:val="24"/>
                <w:highlight w:val="none"/>
              </w:rPr>
              <w:t>分，最多得</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分。</w:t>
            </w:r>
          </w:p>
          <w:p w14:paraId="4BFAB6DC">
            <w:pPr>
              <w:pStyle w:val="28"/>
              <w:rPr>
                <w:rFonts w:hint="eastAsia" w:ascii="Symbol" w:hAnsi="Symbol" w:eastAsia="宋体" w:cs="Symbol"/>
                <w:color w:val="auto"/>
                <w:sz w:val="24"/>
                <w:szCs w:val="24"/>
                <w:highlight w:val="none"/>
                <w:lang w:val="en-US" w:eastAsia="zh-CN" w:bidi="ar-SA"/>
              </w:rPr>
            </w:pPr>
            <w:r>
              <w:rPr>
                <w:rFonts w:hint="eastAsia" w:ascii="宋体" w:hAnsi="宋体" w:eastAsia="宋体" w:cs="宋体"/>
                <w:b/>
                <w:color w:val="auto"/>
                <w:sz w:val="24"/>
                <w:szCs w:val="24"/>
                <w:highlight w:val="none"/>
                <w:lang w:eastAsia="zh-CN"/>
              </w:rPr>
              <w:t>（</w:t>
            </w:r>
            <w:r>
              <w:rPr>
                <w:rFonts w:hint="eastAsia" w:ascii="宋体" w:hAnsi="宋体" w:cs="宋体"/>
                <w:b/>
                <w:color w:val="auto"/>
                <w:sz w:val="24"/>
                <w:szCs w:val="24"/>
                <w:highlight w:val="none"/>
                <w:lang w:eastAsia="zh-CN"/>
              </w:rPr>
              <w:t>响应文件</w:t>
            </w:r>
            <w:r>
              <w:rPr>
                <w:rFonts w:hint="eastAsia" w:ascii="宋体" w:hAnsi="宋体" w:eastAsia="宋体" w:cs="宋体"/>
                <w:b/>
                <w:color w:val="auto"/>
                <w:sz w:val="24"/>
                <w:szCs w:val="24"/>
                <w:highlight w:val="none"/>
              </w:rPr>
              <w:t>中应</w:t>
            </w:r>
            <w:r>
              <w:rPr>
                <w:rFonts w:hint="eastAsia" w:ascii="宋体" w:hAnsi="宋体" w:eastAsia="宋体" w:cs="宋体"/>
                <w:b/>
                <w:color w:val="auto"/>
                <w:sz w:val="24"/>
                <w:szCs w:val="24"/>
                <w:highlight w:val="none"/>
                <w:lang w:val="en-US" w:eastAsia="zh-CN"/>
              </w:rPr>
              <w:t>提供以上人员</w:t>
            </w:r>
            <w:r>
              <w:rPr>
                <w:rFonts w:hint="eastAsia" w:ascii="宋体" w:hAnsi="宋体" w:cs="宋体"/>
                <w:b/>
                <w:color w:val="auto"/>
                <w:sz w:val="24"/>
                <w:szCs w:val="24"/>
                <w:highlight w:val="none"/>
                <w:lang w:val="en-US" w:eastAsia="zh-CN"/>
              </w:rPr>
              <w:t>的</w:t>
            </w:r>
            <w:r>
              <w:rPr>
                <w:rFonts w:hint="eastAsia" w:ascii="宋体" w:hAnsi="宋体" w:eastAsia="宋体" w:cs="宋体"/>
                <w:b/>
                <w:color w:val="auto"/>
                <w:sz w:val="24"/>
                <w:szCs w:val="24"/>
                <w:highlight w:val="none"/>
                <w:lang w:val="en-US" w:eastAsia="zh-CN"/>
              </w:rPr>
              <w:t>注册造价工程师证书</w:t>
            </w:r>
            <w:r>
              <w:rPr>
                <w:rFonts w:hint="eastAsia" w:ascii="宋体" w:hAnsi="宋体" w:eastAsia="宋体" w:cs="宋体"/>
                <w:b/>
                <w:color w:val="auto"/>
                <w:sz w:val="24"/>
                <w:szCs w:val="24"/>
                <w:highlight w:val="none"/>
              </w:rPr>
              <w:t>的原件扫描件）</w:t>
            </w:r>
          </w:p>
        </w:tc>
      </w:tr>
      <w:tr w14:paraId="1DAE0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62D83F80">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38CF66C5">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254" w:type="dxa"/>
            <w:tcBorders>
              <w:top w:val="single" w:color="auto" w:sz="4" w:space="0"/>
              <w:left w:val="single" w:color="auto" w:sz="4" w:space="0"/>
              <w:bottom w:val="single" w:color="auto" w:sz="4" w:space="0"/>
              <w:right w:val="single" w:color="auto" w:sz="4" w:space="0"/>
            </w:tcBorders>
            <w:shd w:val="clear" w:color="auto" w:fill="auto"/>
            <w:vAlign w:val="center"/>
          </w:tcPr>
          <w:p w14:paraId="371EFCD0">
            <w:pPr>
              <w:spacing w:line="360" w:lineRule="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专业人员职称</w:t>
            </w:r>
          </w:p>
        </w:tc>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14:paraId="751534C2">
            <w:pPr>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8分</w:t>
            </w:r>
          </w:p>
        </w:tc>
        <w:tc>
          <w:tcPr>
            <w:tcW w:w="6561" w:type="dxa"/>
            <w:tcBorders>
              <w:top w:val="single" w:color="auto" w:sz="4" w:space="0"/>
              <w:left w:val="single" w:color="auto" w:sz="4" w:space="0"/>
              <w:bottom w:val="single" w:color="auto" w:sz="4" w:space="0"/>
              <w:right w:val="single" w:color="auto" w:sz="4" w:space="0"/>
            </w:tcBorders>
            <w:shd w:val="clear" w:color="auto" w:fill="auto"/>
            <w:vAlign w:val="center"/>
          </w:tcPr>
          <w:p w14:paraId="5EFE5A83">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拟</w:t>
            </w:r>
            <w:r>
              <w:rPr>
                <w:rFonts w:hint="eastAsia" w:ascii="宋体" w:hAnsi="宋体" w:eastAsia="宋体" w:cs="宋体"/>
                <w:color w:val="auto"/>
                <w:sz w:val="24"/>
                <w:szCs w:val="24"/>
                <w:highlight w:val="none"/>
                <w:lang w:val="en-US" w:eastAsia="zh-CN"/>
              </w:rPr>
              <w:t>入围</w:t>
            </w:r>
            <w:r>
              <w:rPr>
                <w:rFonts w:hint="eastAsia" w:ascii="宋体" w:hAnsi="宋体" w:eastAsia="宋体" w:cs="宋体"/>
                <w:color w:val="auto"/>
                <w:sz w:val="24"/>
                <w:szCs w:val="24"/>
                <w:highlight w:val="none"/>
              </w:rPr>
              <w:t>人员具有工程或者工程经济类高级</w:t>
            </w:r>
            <w:r>
              <w:rPr>
                <w:rFonts w:hint="eastAsia" w:ascii="宋体" w:hAnsi="宋体" w:eastAsia="宋体" w:cs="宋体"/>
                <w:color w:val="auto"/>
                <w:sz w:val="24"/>
                <w:szCs w:val="24"/>
                <w:highlight w:val="none"/>
                <w:lang w:val="en-US" w:eastAsia="zh-CN"/>
              </w:rPr>
              <w:t>及以上</w:t>
            </w:r>
            <w:r>
              <w:rPr>
                <w:rFonts w:hint="eastAsia" w:ascii="宋体" w:hAnsi="宋体" w:eastAsia="宋体" w:cs="宋体"/>
                <w:color w:val="auto"/>
                <w:sz w:val="24"/>
                <w:szCs w:val="24"/>
                <w:highlight w:val="none"/>
              </w:rPr>
              <w:t>工程师</w:t>
            </w:r>
            <w:r>
              <w:rPr>
                <w:rFonts w:hint="eastAsia" w:ascii="宋体" w:hAnsi="宋体" w:eastAsia="宋体" w:cs="宋体"/>
                <w:color w:val="auto"/>
                <w:sz w:val="24"/>
                <w:szCs w:val="24"/>
                <w:highlight w:val="none"/>
                <w:lang w:val="en-US" w:eastAsia="zh-CN"/>
              </w:rPr>
              <w:t>职称</w:t>
            </w:r>
            <w:r>
              <w:rPr>
                <w:rFonts w:hint="eastAsia" w:ascii="宋体" w:hAnsi="宋体" w:eastAsia="宋体" w:cs="宋体"/>
                <w:color w:val="auto"/>
                <w:sz w:val="24"/>
                <w:szCs w:val="24"/>
                <w:highlight w:val="none"/>
              </w:rPr>
              <w:t>的，得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拟</w:t>
            </w:r>
            <w:r>
              <w:rPr>
                <w:rFonts w:hint="eastAsia" w:ascii="宋体" w:hAnsi="宋体" w:eastAsia="宋体" w:cs="宋体"/>
                <w:color w:val="auto"/>
                <w:sz w:val="24"/>
                <w:szCs w:val="24"/>
                <w:highlight w:val="none"/>
                <w:lang w:val="en-US" w:eastAsia="zh-CN"/>
              </w:rPr>
              <w:t>入围</w:t>
            </w:r>
            <w:r>
              <w:rPr>
                <w:rFonts w:hint="eastAsia" w:ascii="宋体" w:hAnsi="宋体" w:eastAsia="宋体" w:cs="宋体"/>
                <w:color w:val="auto"/>
                <w:sz w:val="24"/>
                <w:szCs w:val="24"/>
                <w:highlight w:val="none"/>
              </w:rPr>
              <w:t>人员具有工程或者工程经济类中级</w:t>
            </w:r>
            <w:r>
              <w:rPr>
                <w:rFonts w:hint="eastAsia" w:ascii="宋体" w:hAnsi="宋体" w:eastAsia="宋体" w:cs="宋体"/>
                <w:color w:val="auto"/>
                <w:sz w:val="24"/>
                <w:szCs w:val="24"/>
                <w:highlight w:val="none"/>
                <w:lang w:val="en-US" w:eastAsia="zh-CN"/>
              </w:rPr>
              <w:t>及</w:t>
            </w:r>
            <w:r>
              <w:rPr>
                <w:rFonts w:hint="eastAsia" w:ascii="宋体" w:hAnsi="宋体" w:eastAsia="宋体" w:cs="宋体"/>
                <w:color w:val="auto"/>
                <w:sz w:val="24"/>
                <w:szCs w:val="24"/>
                <w:highlight w:val="none"/>
              </w:rPr>
              <w:t>以上专业技术职称的，得0.5分/人。</w:t>
            </w:r>
          </w:p>
          <w:p w14:paraId="3A8A04E6">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本项</w:t>
            </w:r>
            <w:r>
              <w:rPr>
                <w:rFonts w:hint="eastAsia" w:ascii="宋体" w:hAnsi="宋体" w:eastAsia="宋体" w:cs="宋体"/>
                <w:color w:val="auto"/>
                <w:sz w:val="24"/>
                <w:szCs w:val="24"/>
                <w:highlight w:val="none"/>
              </w:rPr>
              <w:t>最多得</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分，同一人员仅取最高职称，不重复计取。</w:t>
            </w:r>
          </w:p>
          <w:p w14:paraId="08A7F4D0">
            <w:pPr>
              <w:spacing w:line="360" w:lineRule="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中应</w:t>
            </w:r>
            <w:r>
              <w:rPr>
                <w:rFonts w:hint="eastAsia" w:ascii="宋体" w:hAnsi="宋体" w:eastAsia="宋体" w:cs="宋体"/>
                <w:b/>
                <w:color w:val="auto"/>
                <w:sz w:val="24"/>
                <w:szCs w:val="24"/>
                <w:highlight w:val="none"/>
                <w:lang w:val="en-US" w:eastAsia="zh-CN"/>
              </w:rPr>
              <w:t>提供以上人员相关职称证书</w:t>
            </w:r>
            <w:r>
              <w:rPr>
                <w:rFonts w:hint="eastAsia" w:ascii="宋体" w:hAnsi="宋体" w:eastAsia="宋体" w:cs="宋体"/>
                <w:b/>
                <w:color w:val="auto"/>
                <w:sz w:val="24"/>
                <w:szCs w:val="24"/>
                <w:highlight w:val="none"/>
              </w:rPr>
              <w:t>的原件扫描件</w:t>
            </w:r>
            <w:r>
              <w:rPr>
                <w:rFonts w:hint="eastAsia" w:ascii="宋体" w:hAnsi="宋体" w:eastAsia="宋体" w:cs="宋体"/>
                <w:b/>
                <w:color w:val="auto"/>
                <w:sz w:val="24"/>
                <w:szCs w:val="24"/>
                <w:highlight w:val="none"/>
                <w:lang w:val="en-US" w:eastAsia="zh-CN"/>
              </w:rPr>
              <w:t>）</w:t>
            </w:r>
            <w:r>
              <w:rPr>
                <w:rFonts w:hint="eastAsia" w:ascii="宋体" w:hAnsi="宋体" w:eastAsia="宋体" w:cs="宋体"/>
                <w:b/>
                <w:color w:val="auto"/>
                <w:sz w:val="24"/>
                <w:szCs w:val="24"/>
                <w:highlight w:val="none"/>
              </w:rPr>
              <w:t>。</w:t>
            </w:r>
          </w:p>
        </w:tc>
      </w:tr>
      <w:tr w14:paraId="22E4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2" w:type="dxa"/>
            <w:vMerge w:val="continue"/>
            <w:tcBorders>
              <w:left w:val="single" w:color="auto" w:sz="4" w:space="0"/>
              <w:right w:val="single" w:color="auto" w:sz="4" w:space="0"/>
            </w:tcBorders>
            <w:vAlign w:val="center"/>
          </w:tcPr>
          <w:p w14:paraId="734F6040">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bottom w:val="single" w:color="auto" w:sz="4" w:space="0"/>
              <w:right w:val="single" w:color="auto" w:sz="4" w:space="0"/>
            </w:tcBorders>
            <w:vAlign w:val="center"/>
          </w:tcPr>
          <w:p w14:paraId="1A06C70D">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1254" w:type="dxa"/>
            <w:tcBorders>
              <w:top w:val="single" w:color="auto" w:sz="4" w:space="0"/>
              <w:left w:val="single" w:color="auto" w:sz="4" w:space="0"/>
              <w:bottom w:val="single" w:color="auto" w:sz="4" w:space="0"/>
              <w:right w:val="single" w:color="auto" w:sz="4" w:space="0"/>
            </w:tcBorders>
            <w:vAlign w:val="center"/>
          </w:tcPr>
          <w:p w14:paraId="44411EFE">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专业人员执业资格</w:t>
            </w:r>
          </w:p>
        </w:tc>
        <w:tc>
          <w:tcPr>
            <w:tcW w:w="611" w:type="dxa"/>
            <w:tcBorders>
              <w:top w:val="single" w:color="auto" w:sz="4" w:space="0"/>
              <w:left w:val="single" w:color="auto" w:sz="4" w:space="0"/>
              <w:bottom w:val="single" w:color="auto" w:sz="4" w:space="0"/>
              <w:right w:val="single" w:color="auto" w:sz="4" w:space="0"/>
            </w:tcBorders>
            <w:vAlign w:val="center"/>
          </w:tcPr>
          <w:p w14:paraId="2E25929E">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8分</w:t>
            </w:r>
          </w:p>
        </w:tc>
        <w:tc>
          <w:tcPr>
            <w:tcW w:w="6561" w:type="dxa"/>
            <w:tcBorders>
              <w:top w:val="single" w:color="auto" w:sz="4" w:space="0"/>
              <w:left w:val="single" w:color="auto" w:sz="4" w:space="0"/>
              <w:bottom w:val="single" w:color="auto" w:sz="4" w:space="0"/>
              <w:right w:val="single" w:color="auto" w:sz="4" w:space="0"/>
            </w:tcBorders>
            <w:vAlign w:val="center"/>
          </w:tcPr>
          <w:p w14:paraId="06AE0F3F">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拟派</w:t>
            </w:r>
            <w:r>
              <w:rPr>
                <w:rFonts w:hint="eastAsia" w:ascii="宋体" w:hAnsi="宋体" w:eastAsia="宋体" w:cs="宋体"/>
                <w:color w:val="auto"/>
                <w:sz w:val="24"/>
                <w:szCs w:val="24"/>
                <w:highlight w:val="none"/>
                <w:lang w:val="en-US" w:eastAsia="zh-CN"/>
              </w:rPr>
              <w:t>专业</w:t>
            </w:r>
            <w:r>
              <w:rPr>
                <w:rFonts w:hint="eastAsia" w:ascii="宋体" w:hAnsi="宋体" w:eastAsia="宋体" w:cs="宋体"/>
                <w:color w:val="auto"/>
                <w:sz w:val="24"/>
                <w:szCs w:val="24"/>
                <w:highlight w:val="none"/>
              </w:rPr>
              <w:t>人员为一级注册造价工程师（土建专业），每人得1分，本项最高为</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p w14:paraId="01052A6A">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拟派</w:t>
            </w:r>
            <w:r>
              <w:rPr>
                <w:rFonts w:hint="eastAsia" w:ascii="宋体" w:hAnsi="宋体" w:eastAsia="宋体" w:cs="宋体"/>
                <w:color w:val="auto"/>
                <w:sz w:val="24"/>
                <w:szCs w:val="24"/>
                <w:highlight w:val="none"/>
                <w:lang w:val="en-US" w:eastAsia="zh-CN"/>
              </w:rPr>
              <w:t>专业</w:t>
            </w:r>
            <w:r>
              <w:rPr>
                <w:rFonts w:hint="eastAsia" w:ascii="宋体" w:hAnsi="宋体" w:eastAsia="宋体" w:cs="宋体"/>
                <w:color w:val="auto"/>
                <w:sz w:val="24"/>
                <w:szCs w:val="24"/>
                <w:highlight w:val="none"/>
              </w:rPr>
              <w:t>人员为一级注册造价工程师（安装专业），每人得1分，本项最高为2分；</w:t>
            </w:r>
          </w:p>
          <w:p w14:paraId="40F333B0">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拟派</w:t>
            </w:r>
            <w:r>
              <w:rPr>
                <w:rFonts w:hint="eastAsia" w:ascii="宋体" w:hAnsi="宋体" w:eastAsia="宋体" w:cs="宋体"/>
                <w:color w:val="auto"/>
                <w:sz w:val="24"/>
                <w:szCs w:val="24"/>
                <w:highlight w:val="none"/>
                <w:lang w:val="en-US" w:eastAsia="zh-CN"/>
              </w:rPr>
              <w:t>专业</w:t>
            </w:r>
            <w:r>
              <w:rPr>
                <w:rFonts w:hint="eastAsia" w:ascii="宋体" w:hAnsi="宋体" w:eastAsia="宋体" w:cs="宋体"/>
                <w:color w:val="auto"/>
                <w:sz w:val="24"/>
                <w:szCs w:val="24"/>
                <w:highlight w:val="none"/>
              </w:rPr>
              <w:t>人员为一级注册造价工程师（交通专业），每人得1分,本项最高为1分</w:t>
            </w:r>
            <w:r>
              <w:rPr>
                <w:rFonts w:hint="eastAsia" w:ascii="宋体" w:hAnsi="宋体" w:eastAsia="宋体" w:cs="宋体"/>
                <w:color w:val="auto"/>
                <w:sz w:val="24"/>
                <w:szCs w:val="24"/>
                <w:highlight w:val="none"/>
                <w:lang w:eastAsia="zh-CN"/>
              </w:rPr>
              <w:t>；</w:t>
            </w:r>
          </w:p>
          <w:p w14:paraId="6B01C847">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拟派</w:t>
            </w:r>
            <w:r>
              <w:rPr>
                <w:rFonts w:hint="eastAsia" w:ascii="宋体" w:hAnsi="宋体" w:eastAsia="宋体" w:cs="宋体"/>
                <w:color w:val="auto"/>
                <w:sz w:val="24"/>
                <w:szCs w:val="24"/>
                <w:highlight w:val="none"/>
                <w:lang w:val="en-US" w:eastAsia="zh-CN"/>
              </w:rPr>
              <w:t>专业</w:t>
            </w:r>
            <w:r>
              <w:rPr>
                <w:rFonts w:hint="eastAsia" w:ascii="宋体" w:hAnsi="宋体" w:eastAsia="宋体" w:cs="宋体"/>
                <w:color w:val="auto"/>
                <w:sz w:val="24"/>
                <w:szCs w:val="24"/>
                <w:highlight w:val="none"/>
              </w:rPr>
              <w:t>人员为一级注册造价工程师（水利专业），每人得1分,本项最高为1分</w:t>
            </w:r>
            <w:r>
              <w:rPr>
                <w:rFonts w:hint="eastAsia" w:ascii="宋体" w:hAnsi="宋体" w:eastAsia="宋体" w:cs="宋体"/>
                <w:color w:val="auto"/>
                <w:sz w:val="24"/>
                <w:szCs w:val="24"/>
                <w:highlight w:val="none"/>
                <w:lang w:eastAsia="zh-CN"/>
              </w:rPr>
              <w:t>；</w:t>
            </w:r>
          </w:p>
          <w:p w14:paraId="19562D08">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总分最多得8分</w:t>
            </w:r>
            <w:r>
              <w:rPr>
                <w:rFonts w:hint="eastAsia" w:ascii="宋体" w:hAnsi="宋体" w:eastAsia="宋体" w:cs="宋体"/>
                <w:color w:val="auto"/>
                <w:sz w:val="24"/>
                <w:szCs w:val="24"/>
                <w:highlight w:val="none"/>
              </w:rPr>
              <w:t>。同一人员仅取最高执业资格，不重复计取。</w:t>
            </w:r>
          </w:p>
          <w:p w14:paraId="5D6D8E80">
            <w:pPr>
              <w:pStyle w:val="28"/>
              <w:rPr>
                <w:rFonts w:hint="eastAsia" w:ascii="宋体" w:hAnsi="宋体" w:eastAsia="宋体" w:cs="宋体"/>
                <w:bCs/>
                <w:color w:val="auto"/>
                <w:sz w:val="24"/>
                <w:szCs w:val="24"/>
                <w:highlight w:val="none"/>
              </w:rPr>
            </w:pPr>
            <w:r>
              <w:rPr>
                <w:rFonts w:hint="eastAsia" w:ascii="宋体" w:hAnsi="宋体" w:eastAsia="宋体" w:cs="宋体"/>
                <w:b/>
                <w:color w:val="auto"/>
                <w:sz w:val="24"/>
                <w:szCs w:val="24"/>
                <w:highlight w:val="none"/>
                <w:lang w:eastAsia="zh-CN"/>
              </w:rPr>
              <w:t>（</w:t>
            </w:r>
            <w:r>
              <w:rPr>
                <w:rFonts w:hint="eastAsia" w:ascii="宋体" w:hAnsi="宋体" w:cs="宋体"/>
                <w:b/>
                <w:color w:val="auto"/>
                <w:sz w:val="24"/>
                <w:szCs w:val="24"/>
                <w:highlight w:val="none"/>
                <w:lang w:eastAsia="zh-CN"/>
              </w:rPr>
              <w:t>响应文件</w:t>
            </w:r>
            <w:r>
              <w:rPr>
                <w:rFonts w:hint="eastAsia" w:ascii="宋体" w:hAnsi="宋体" w:eastAsia="宋体" w:cs="宋体"/>
                <w:b/>
                <w:color w:val="auto"/>
                <w:sz w:val="24"/>
                <w:szCs w:val="24"/>
                <w:highlight w:val="none"/>
              </w:rPr>
              <w:t>中应</w:t>
            </w:r>
            <w:r>
              <w:rPr>
                <w:rFonts w:hint="eastAsia" w:ascii="宋体" w:hAnsi="宋体" w:eastAsia="宋体" w:cs="宋体"/>
                <w:b/>
                <w:color w:val="auto"/>
                <w:sz w:val="24"/>
                <w:szCs w:val="24"/>
                <w:highlight w:val="none"/>
                <w:lang w:val="en-US" w:eastAsia="zh-CN"/>
              </w:rPr>
              <w:t>提供以上人员</w:t>
            </w:r>
            <w:r>
              <w:rPr>
                <w:rFonts w:hint="eastAsia" w:ascii="宋体" w:hAnsi="宋体" w:cs="宋体"/>
                <w:b/>
                <w:color w:val="auto"/>
                <w:sz w:val="24"/>
                <w:szCs w:val="24"/>
                <w:highlight w:val="none"/>
                <w:lang w:val="en-US" w:eastAsia="zh-CN"/>
              </w:rPr>
              <w:t>的注册造价工程师</w:t>
            </w:r>
            <w:r>
              <w:rPr>
                <w:rFonts w:hint="eastAsia" w:ascii="宋体" w:hAnsi="宋体" w:eastAsia="宋体" w:cs="宋体"/>
                <w:b/>
                <w:color w:val="auto"/>
                <w:sz w:val="24"/>
                <w:szCs w:val="24"/>
                <w:highlight w:val="none"/>
                <w:lang w:val="en-US" w:eastAsia="zh-CN"/>
              </w:rPr>
              <w:t>证书</w:t>
            </w:r>
            <w:r>
              <w:rPr>
                <w:rFonts w:hint="eastAsia" w:ascii="宋体" w:hAnsi="宋体" w:eastAsia="宋体" w:cs="宋体"/>
                <w:b/>
                <w:color w:val="auto"/>
                <w:sz w:val="24"/>
                <w:szCs w:val="24"/>
                <w:highlight w:val="none"/>
              </w:rPr>
              <w:t>的原件扫描件）。</w:t>
            </w:r>
          </w:p>
        </w:tc>
      </w:tr>
      <w:tr w14:paraId="46F0D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0" w:hRule="atLeast"/>
          <w:jc w:val="center"/>
        </w:trPr>
        <w:tc>
          <w:tcPr>
            <w:tcW w:w="712" w:type="dxa"/>
            <w:vMerge w:val="continue"/>
            <w:tcBorders>
              <w:left w:val="single" w:color="auto" w:sz="4" w:space="0"/>
              <w:right w:val="single" w:color="auto" w:sz="4" w:space="0"/>
            </w:tcBorders>
            <w:vAlign w:val="center"/>
          </w:tcPr>
          <w:p w14:paraId="17907228">
            <w:pPr>
              <w:widowControl/>
              <w:spacing w:line="360" w:lineRule="auto"/>
              <w:jc w:val="left"/>
              <w:rPr>
                <w:rFonts w:hint="eastAsia" w:ascii="宋体" w:hAnsi="宋体" w:eastAsia="宋体" w:cs="宋体"/>
                <w:color w:val="auto"/>
                <w:sz w:val="24"/>
                <w:szCs w:val="24"/>
                <w:highlight w:val="none"/>
              </w:rPr>
            </w:pPr>
          </w:p>
        </w:tc>
        <w:tc>
          <w:tcPr>
            <w:tcW w:w="712" w:type="dxa"/>
            <w:tcBorders>
              <w:top w:val="single" w:color="auto" w:sz="4" w:space="0"/>
              <w:left w:val="single" w:color="auto" w:sz="4" w:space="0"/>
              <w:right w:val="single" w:color="auto" w:sz="4" w:space="0"/>
            </w:tcBorders>
            <w:vAlign w:val="center"/>
          </w:tcPr>
          <w:p w14:paraId="0C600E8E">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p>
        </w:tc>
        <w:tc>
          <w:tcPr>
            <w:tcW w:w="1254" w:type="dxa"/>
            <w:tcBorders>
              <w:top w:val="single" w:color="auto" w:sz="4" w:space="0"/>
              <w:left w:val="single" w:color="auto" w:sz="4" w:space="0"/>
              <w:right w:val="single" w:color="auto" w:sz="4" w:space="0"/>
            </w:tcBorders>
            <w:vAlign w:val="center"/>
          </w:tcPr>
          <w:p w14:paraId="5CB328CD">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人员稳定性</w:t>
            </w:r>
          </w:p>
        </w:tc>
        <w:tc>
          <w:tcPr>
            <w:tcW w:w="611" w:type="dxa"/>
            <w:tcBorders>
              <w:top w:val="single" w:color="auto" w:sz="4" w:space="0"/>
              <w:left w:val="single" w:color="auto" w:sz="4" w:space="0"/>
              <w:right w:val="single" w:color="auto" w:sz="4" w:space="0"/>
            </w:tcBorders>
            <w:vAlign w:val="center"/>
          </w:tcPr>
          <w:p w14:paraId="3272C198">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10分</w:t>
            </w:r>
          </w:p>
        </w:tc>
        <w:tc>
          <w:tcPr>
            <w:tcW w:w="6561" w:type="dxa"/>
            <w:tcBorders>
              <w:top w:val="single" w:color="auto" w:sz="4" w:space="0"/>
              <w:left w:val="single" w:color="auto" w:sz="4" w:space="0"/>
              <w:bottom w:val="single" w:color="auto" w:sz="4" w:space="0"/>
              <w:right w:val="single" w:color="auto" w:sz="4" w:space="0"/>
            </w:tcBorders>
            <w:vAlign w:val="center"/>
          </w:tcPr>
          <w:p w14:paraId="638FFC43">
            <w:pPr>
              <w:numPr>
                <w:ilvl w:val="0"/>
                <w:numId w:val="0"/>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1.专业人员自2020年1月1日至2023年12月31日期间，在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缴纳社保</w:t>
            </w:r>
            <w:r>
              <w:rPr>
                <w:rFonts w:hint="eastAsia" w:ascii="宋体" w:hAnsi="宋体" w:eastAsia="宋体" w:cs="宋体"/>
                <w:color w:val="auto"/>
                <w:sz w:val="24"/>
                <w:szCs w:val="24"/>
                <w:highlight w:val="none"/>
                <w:lang w:val="en-US" w:eastAsia="zh-CN"/>
              </w:rPr>
              <w:t>交满48</w:t>
            </w:r>
            <w:r>
              <w:rPr>
                <w:rFonts w:hint="eastAsia" w:ascii="宋体" w:hAnsi="宋体" w:eastAsia="宋体" w:cs="宋体"/>
                <w:color w:val="auto"/>
                <w:sz w:val="24"/>
                <w:szCs w:val="24"/>
                <w:highlight w:val="none"/>
              </w:rPr>
              <w:t>个月的，得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分/人；</w:t>
            </w:r>
          </w:p>
          <w:p w14:paraId="56EA2DDA">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专业人员自2020年1月1日至2023年12月31日期间，在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缴纳满</w:t>
            </w:r>
            <w:r>
              <w:rPr>
                <w:rFonts w:hint="eastAsia" w:ascii="宋体" w:hAnsi="宋体" w:eastAsia="宋体" w:cs="宋体"/>
                <w:color w:val="auto"/>
                <w:sz w:val="24"/>
                <w:szCs w:val="24"/>
                <w:highlight w:val="none"/>
                <w:lang w:val="en-US" w:eastAsia="zh-CN"/>
              </w:rPr>
              <w:t>36</w:t>
            </w:r>
            <w:r>
              <w:rPr>
                <w:rFonts w:hint="eastAsia" w:ascii="宋体" w:hAnsi="宋体" w:eastAsia="宋体" w:cs="宋体"/>
                <w:color w:val="auto"/>
                <w:sz w:val="24"/>
                <w:szCs w:val="24"/>
                <w:highlight w:val="none"/>
              </w:rPr>
              <w:t>个月的，得</w:t>
            </w:r>
            <w:r>
              <w:rPr>
                <w:rFonts w:hint="eastAsia" w:ascii="宋体" w:hAnsi="宋体" w:eastAsia="宋体" w:cs="宋体"/>
                <w:color w:val="auto"/>
                <w:sz w:val="24"/>
                <w:szCs w:val="24"/>
                <w:highlight w:val="none"/>
                <w:lang w:val="en-US" w:eastAsia="zh-CN"/>
              </w:rPr>
              <w:t>0.5</w:t>
            </w:r>
            <w:r>
              <w:rPr>
                <w:rFonts w:hint="eastAsia" w:ascii="宋体" w:hAnsi="宋体" w:eastAsia="宋体" w:cs="宋体"/>
                <w:color w:val="auto"/>
                <w:sz w:val="24"/>
                <w:szCs w:val="24"/>
                <w:highlight w:val="none"/>
              </w:rPr>
              <w:t>分/人；</w:t>
            </w:r>
          </w:p>
          <w:p w14:paraId="20A52C6B">
            <w:pPr>
              <w:spacing w:line="360" w:lineRule="auto"/>
              <w:rPr>
                <w:rFonts w:hint="eastAsia"/>
                <w:color w:val="auto"/>
                <w:highlight w:val="none"/>
              </w:rPr>
            </w:pPr>
            <w:r>
              <w:rPr>
                <w:rFonts w:hint="eastAsia" w:ascii="宋体" w:hAnsi="宋体" w:eastAsia="宋体" w:cs="宋体"/>
                <w:color w:val="auto"/>
                <w:sz w:val="24"/>
                <w:szCs w:val="24"/>
                <w:highlight w:val="none"/>
              </w:rPr>
              <w:t>以上最高得</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分，同一位专业人员仅计取一次，</w:t>
            </w:r>
            <w:r>
              <w:rPr>
                <w:rFonts w:hint="eastAsia" w:ascii="宋体" w:hAnsi="宋体" w:eastAsia="宋体" w:cs="宋体"/>
                <w:color w:val="auto"/>
                <w:sz w:val="24"/>
                <w:szCs w:val="24"/>
                <w:highlight w:val="none"/>
                <w:lang w:val="en-US" w:eastAsia="zh-CN"/>
              </w:rPr>
              <w:t>须</w:t>
            </w:r>
            <w:r>
              <w:rPr>
                <w:rFonts w:hint="eastAsia" w:ascii="宋体" w:hAnsi="宋体" w:eastAsia="宋体" w:cs="宋体"/>
                <w:color w:val="auto"/>
                <w:sz w:val="24"/>
                <w:szCs w:val="24"/>
                <w:highlight w:val="none"/>
              </w:rPr>
              <w:t>提供社保管理部门盖章确认的社保清单。</w:t>
            </w:r>
          </w:p>
        </w:tc>
      </w:tr>
      <w:bookmarkEnd w:id="6"/>
    </w:tbl>
    <w:p w14:paraId="449E75B7">
      <w:pPr>
        <w:jc w:val="left"/>
        <w:rPr>
          <w:rFonts w:ascii="宋体" w:hAnsi="宋体"/>
          <w:b/>
          <w:bCs/>
          <w:color w:val="auto"/>
          <w:sz w:val="24"/>
          <w:szCs w:val="24"/>
          <w:highlight w:val="none"/>
        </w:rPr>
      </w:pPr>
    </w:p>
    <w:p w14:paraId="3A5AEDBB">
      <w:pPr>
        <w:jc w:val="left"/>
        <w:rPr>
          <w:rFonts w:ascii="宋体" w:hAnsi="宋体"/>
          <w:b/>
          <w:bCs/>
          <w:color w:val="auto"/>
          <w:sz w:val="24"/>
          <w:szCs w:val="24"/>
          <w:highlight w:val="none"/>
        </w:rPr>
      </w:pPr>
      <w:r>
        <w:rPr>
          <w:rFonts w:hint="eastAsia" w:ascii="宋体" w:hAnsi="宋体"/>
          <w:b/>
          <w:bCs/>
          <w:color w:val="auto"/>
          <w:sz w:val="24"/>
          <w:szCs w:val="24"/>
          <w:highlight w:val="none"/>
        </w:rPr>
        <w:t>备注：</w:t>
      </w:r>
    </w:p>
    <w:p w14:paraId="6B8F8BBE">
      <w:pPr>
        <w:numPr>
          <w:ilvl w:val="0"/>
          <w:numId w:val="5"/>
        </w:num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评分过程中如出现小数点后三位，采用四舍五入法，最终保留两位小数；</w:t>
      </w:r>
    </w:p>
    <w:p w14:paraId="06A2D1B0">
      <w:pPr>
        <w:numPr>
          <w:ilvl w:val="0"/>
          <w:numId w:val="5"/>
        </w:num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eastAsia="zh-CN"/>
        </w:rPr>
        <w:t>响应文件</w:t>
      </w:r>
      <w:r>
        <w:rPr>
          <w:rFonts w:hint="eastAsia" w:ascii="宋体" w:hAnsi="宋体"/>
          <w:color w:val="auto"/>
          <w:sz w:val="24"/>
          <w:szCs w:val="24"/>
          <w:highlight w:val="none"/>
        </w:rPr>
        <w:t>中必须提供以上相关证明材料原件扫描件,否则不予加分。</w:t>
      </w:r>
    </w:p>
    <w:p w14:paraId="023E582A">
      <w:pPr>
        <w:numPr>
          <w:ilvl w:val="0"/>
          <w:numId w:val="5"/>
        </w:num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所有评审内容</w:t>
      </w:r>
      <w:r>
        <w:rPr>
          <w:rFonts w:hint="eastAsia" w:ascii="宋体" w:hAnsi="宋体"/>
          <w:color w:val="auto"/>
          <w:sz w:val="24"/>
          <w:szCs w:val="24"/>
          <w:highlight w:val="none"/>
          <w:lang w:eastAsia="zh-CN"/>
        </w:rPr>
        <w:t>供应商</w:t>
      </w:r>
      <w:r>
        <w:rPr>
          <w:rFonts w:hint="eastAsia" w:ascii="宋体" w:hAnsi="宋体"/>
          <w:color w:val="auto"/>
          <w:sz w:val="24"/>
          <w:szCs w:val="24"/>
          <w:highlight w:val="none"/>
        </w:rPr>
        <w:t>做出的响应均视为承诺</w:t>
      </w:r>
      <w:r>
        <w:rPr>
          <w:rFonts w:hint="eastAsia" w:ascii="宋体" w:hAnsi="宋体"/>
          <w:color w:val="auto"/>
          <w:sz w:val="24"/>
          <w:szCs w:val="24"/>
          <w:highlight w:val="none"/>
          <w:lang w:eastAsia="zh-CN"/>
        </w:rPr>
        <w:t>。</w:t>
      </w:r>
      <w:r>
        <w:rPr>
          <w:rFonts w:hint="eastAsia" w:ascii="宋体" w:hAnsi="宋体"/>
          <w:color w:val="auto"/>
          <w:sz w:val="24"/>
          <w:szCs w:val="24"/>
          <w:highlight w:val="none"/>
        </w:rPr>
        <w:t>在订立框架协议期间和订立框架协议后发现提供的相关信息与实际不符或其它弄虚作假之处，一经发现，取消订立框架协议资格，并在3年内不接受重新订立框架协议的申请。</w:t>
      </w:r>
    </w:p>
    <w:p w14:paraId="0FD7A02A">
      <w:pPr>
        <w:numPr>
          <w:ilvl w:val="0"/>
          <w:numId w:val="5"/>
        </w:num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所有注册证的注册单位必须为</w:t>
      </w:r>
      <w:r>
        <w:rPr>
          <w:rFonts w:hint="eastAsia" w:ascii="宋体" w:hAnsi="宋体"/>
          <w:color w:val="auto"/>
          <w:sz w:val="24"/>
          <w:szCs w:val="24"/>
          <w:highlight w:val="none"/>
          <w:lang w:eastAsia="zh-CN"/>
        </w:rPr>
        <w:t>投标</w:t>
      </w:r>
      <w:r>
        <w:rPr>
          <w:rFonts w:hint="eastAsia" w:ascii="宋体" w:hAnsi="宋体"/>
          <w:color w:val="auto"/>
          <w:sz w:val="24"/>
          <w:szCs w:val="24"/>
          <w:highlight w:val="none"/>
          <w:lang w:val="en-US" w:eastAsia="zh-CN"/>
        </w:rPr>
        <w:t>单位</w:t>
      </w:r>
      <w:r>
        <w:rPr>
          <w:rFonts w:hint="eastAsia" w:ascii="宋体" w:hAnsi="宋体"/>
          <w:color w:val="auto"/>
          <w:sz w:val="24"/>
          <w:szCs w:val="24"/>
          <w:highlight w:val="none"/>
        </w:rPr>
        <w:t>，否则不得分。</w:t>
      </w:r>
    </w:p>
    <w:p w14:paraId="622466F8">
      <w:pPr>
        <w:numPr>
          <w:ilvl w:val="0"/>
          <w:numId w:val="5"/>
        </w:num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主审、助审人员原则上不得在协审期间更换。若更换的，被更换人员两年内不得参与</w:t>
      </w:r>
      <w:r>
        <w:rPr>
          <w:rFonts w:hint="eastAsia" w:ascii="宋体" w:hAnsi="宋体"/>
          <w:color w:val="auto"/>
          <w:sz w:val="24"/>
          <w:szCs w:val="24"/>
          <w:highlight w:val="none"/>
          <w:lang w:eastAsia="zh-CN"/>
        </w:rPr>
        <w:t>宜兴市财政局</w:t>
      </w:r>
      <w:r>
        <w:rPr>
          <w:rFonts w:hint="eastAsia" w:ascii="宋体" w:hAnsi="宋体"/>
          <w:color w:val="auto"/>
          <w:sz w:val="24"/>
          <w:szCs w:val="24"/>
          <w:highlight w:val="none"/>
        </w:rPr>
        <w:t>协审服务招投标活动。除重大疾病、辞职、退休等情况之外，更换协审人员扣减该项目协审费用3%/次。</w:t>
      </w:r>
    </w:p>
    <w:p w14:paraId="3F515AE4">
      <w:pPr>
        <w:pStyle w:val="28"/>
        <w:rPr>
          <w:rFonts w:hint="eastAsia" w:ascii="宋体" w:hAnsi="宋体"/>
          <w:b/>
          <w:bCs/>
          <w:color w:val="auto"/>
          <w:sz w:val="24"/>
          <w:szCs w:val="24"/>
          <w:highlight w:val="none"/>
          <w:lang w:val="en-US" w:eastAsia="zh-CN"/>
        </w:rPr>
      </w:pPr>
    </w:p>
    <w:p w14:paraId="46FB67BC">
      <w:pPr>
        <w:pStyle w:val="28"/>
        <w:rPr>
          <w:rFonts w:hint="eastAsia" w:ascii="宋体" w:hAnsi="宋体"/>
          <w:b/>
          <w:bCs/>
          <w:color w:val="auto"/>
          <w:sz w:val="24"/>
          <w:szCs w:val="24"/>
          <w:highlight w:val="none"/>
          <w:lang w:val="en-US" w:eastAsia="zh-CN"/>
        </w:rPr>
      </w:pPr>
    </w:p>
    <w:p w14:paraId="079966ED">
      <w:pPr>
        <w:keepNext w:val="0"/>
        <w:keepLines w:val="0"/>
        <w:pageBreakBefore/>
        <w:widowControl w:val="0"/>
        <w:kinsoku/>
        <w:wordWrap/>
        <w:overflowPunct/>
        <w:topLinePunct w:val="0"/>
        <w:autoSpaceDE/>
        <w:autoSpaceDN/>
        <w:bidi w:val="0"/>
        <w:adjustRightInd/>
        <w:snapToGrid/>
        <w:spacing w:line="360" w:lineRule="auto"/>
        <w:ind w:firstLine="560" w:firstLineChars="200"/>
        <w:jc w:val="center"/>
        <w:textAlignment w:val="auto"/>
        <w:outlineLvl w:val="0"/>
        <w:rPr>
          <w:rFonts w:hint="eastAsia" w:ascii="黑体" w:hAnsi="黑体" w:eastAsia="黑体"/>
          <w:color w:val="auto"/>
          <w:sz w:val="28"/>
          <w:highlight w:val="none"/>
        </w:rPr>
      </w:pPr>
      <w:r>
        <w:rPr>
          <w:rFonts w:hint="eastAsia" w:ascii="黑体" w:hAnsi="黑体" w:eastAsia="黑体"/>
          <w:color w:val="auto"/>
          <w:sz w:val="28"/>
          <w:highlight w:val="none"/>
          <w:lang w:eastAsia="zh-CN"/>
        </w:rPr>
        <w:t>封闭式框架协议</w:t>
      </w:r>
      <w:r>
        <w:rPr>
          <w:rFonts w:hint="eastAsia" w:ascii="黑体" w:hAnsi="黑体" w:eastAsia="黑体"/>
          <w:color w:val="auto"/>
          <w:sz w:val="28"/>
          <w:highlight w:val="none"/>
        </w:rPr>
        <w:t>（格式）</w:t>
      </w:r>
    </w:p>
    <w:p w14:paraId="43544FBC">
      <w:pPr>
        <w:spacing w:line="360" w:lineRule="auto"/>
        <w:jc w:val="center"/>
        <w:rPr>
          <w:rFonts w:ascii="黑体" w:eastAsia="黑体"/>
          <w:bCs/>
          <w:color w:val="auto"/>
          <w:sz w:val="30"/>
          <w:szCs w:val="30"/>
          <w:highlight w:val="none"/>
        </w:rPr>
      </w:pPr>
      <w:r>
        <w:rPr>
          <w:rFonts w:hint="eastAsia" w:ascii="黑体" w:eastAsia="黑体"/>
          <w:bCs/>
          <w:color w:val="auto"/>
          <w:sz w:val="30"/>
          <w:szCs w:val="30"/>
          <w:highlight w:val="none"/>
        </w:rPr>
        <w:t>框架协议文本</w:t>
      </w:r>
    </w:p>
    <w:p w14:paraId="2BF1AAE6">
      <w:pPr>
        <w:widowControl/>
        <w:shd w:val="clear" w:color="auto" w:fill="FFFFFF"/>
        <w:spacing w:line="360" w:lineRule="auto"/>
        <w:jc w:val="center"/>
        <w:rPr>
          <w:rFonts w:hint="eastAsia" w:ascii="黑体" w:hAnsi="华文中宋" w:eastAsia="黑体"/>
          <w:bCs/>
          <w:color w:val="auto"/>
          <w:sz w:val="24"/>
          <w:szCs w:val="24"/>
          <w:highlight w:val="none"/>
          <w:lang w:eastAsia="zh-CN"/>
        </w:rPr>
      </w:pPr>
      <w:r>
        <w:rPr>
          <w:rFonts w:hint="eastAsia" w:ascii="黑体" w:hAnsi="华文中宋" w:eastAsia="黑体"/>
          <w:bCs/>
          <w:color w:val="auto"/>
          <w:sz w:val="24"/>
          <w:szCs w:val="24"/>
          <w:highlight w:val="none"/>
          <w:lang w:val="en-US" w:eastAsia="zh-CN"/>
        </w:rPr>
        <w:t>宜兴市财政局</w:t>
      </w:r>
      <w:r>
        <w:rPr>
          <w:rFonts w:hint="eastAsia" w:ascii="黑体" w:hAnsi="华文中宋" w:eastAsia="黑体"/>
          <w:bCs/>
          <w:color w:val="auto"/>
          <w:sz w:val="24"/>
          <w:szCs w:val="24"/>
          <w:highlight w:val="none"/>
          <w:lang w:eastAsia="zh-CN"/>
        </w:rPr>
        <w:t>2024-2025年度宜兴市市级投资项目审核咨询服务框架协议</w:t>
      </w:r>
    </w:p>
    <w:p w14:paraId="59B9F4B6">
      <w:pPr>
        <w:widowControl/>
        <w:shd w:val="clear" w:color="auto" w:fill="FFFFFF"/>
        <w:spacing w:line="360" w:lineRule="auto"/>
        <w:jc w:val="left"/>
        <w:rPr>
          <w:rFonts w:hint="eastAsia" w:ascii="宋体" w:hAnsi="宋体" w:cs="宋体"/>
          <w:color w:val="auto"/>
          <w:kern w:val="0"/>
          <w:sz w:val="24"/>
          <w:szCs w:val="24"/>
          <w:highlight w:val="none"/>
          <w:lang w:eastAsia="zh-CN"/>
        </w:rPr>
      </w:pPr>
      <w:r>
        <w:rPr>
          <w:rFonts w:hint="eastAsia" w:ascii="宋体" w:hAnsi="宋体"/>
          <w:color w:val="auto"/>
          <w:sz w:val="24"/>
          <w:szCs w:val="24"/>
          <w:highlight w:val="none"/>
        </w:rPr>
        <w:t>项目编号：</w:t>
      </w:r>
    </w:p>
    <w:p w14:paraId="49B206F2">
      <w:pPr>
        <w:spacing w:line="360" w:lineRule="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甲方（征集人）：</w:t>
      </w:r>
    </w:p>
    <w:p w14:paraId="21497EE8">
      <w:pPr>
        <w:spacing w:line="360" w:lineRule="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乙方（入围单位）：</w:t>
      </w:r>
    </w:p>
    <w:p w14:paraId="62233671">
      <w:pPr>
        <w:spacing w:line="360" w:lineRule="auto"/>
        <w:ind w:firstLine="480" w:firstLineChars="200"/>
        <w:contextualSpacing/>
        <w:rPr>
          <w:rFonts w:ascii="黑体" w:hAnsi="黑体" w:eastAsia="黑体" w:cs="黑体"/>
          <w:color w:val="auto"/>
          <w:sz w:val="24"/>
          <w:highlight w:val="none"/>
        </w:rPr>
      </w:pPr>
      <w:r>
        <w:rPr>
          <w:rFonts w:hint="eastAsia" w:ascii="黑体" w:hAnsi="黑体" w:eastAsia="黑体" w:cs="黑体"/>
          <w:color w:val="auto"/>
          <w:sz w:val="24"/>
          <w:highlight w:val="none"/>
        </w:rPr>
        <w:t>甲、乙双方根据</w:t>
      </w:r>
      <w:r>
        <w:rPr>
          <w:rFonts w:hint="eastAsia" w:ascii="黑体" w:hAnsi="华文中宋" w:eastAsia="黑体"/>
          <w:bCs/>
          <w:color w:val="auto"/>
          <w:sz w:val="24"/>
          <w:szCs w:val="24"/>
          <w:highlight w:val="none"/>
          <w:lang w:val="en-US" w:eastAsia="zh-CN"/>
        </w:rPr>
        <w:t>宜兴市财政局</w:t>
      </w:r>
      <w:r>
        <w:rPr>
          <w:rFonts w:hint="eastAsia" w:ascii="黑体" w:hAnsi="黑体" w:eastAsia="黑体" w:cs="黑体"/>
          <w:color w:val="auto"/>
          <w:sz w:val="24"/>
          <w:highlight w:val="none"/>
          <w:lang w:eastAsia="zh-CN"/>
        </w:rPr>
        <w:t>2024-2025年度宜兴市市级投资项目审核咨询服务框架协议</w:t>
      </w:r>
      <w:r>
        <w:rPr>
          <w:rFonts w:hint="eastAsia" w:ascii="黑体" w:hAnsi="黑体" w:eastAsia="黑体" w:cs="黑体"/>
          <w:color w:val="auto"/>
          <w:sz w:val="24"/>
          <w:highlight w:val="none"/>
        </w:rPr>
        <w:t>的结果，签署本文本。</w:t>
      </w:r>
    </w:p>
    <w:p w14:paraId="0E4D349A">
      <w:pPr>
        <w:spacing w:line="360" w:lineRule="auto"/>
        <w:contextualSpacing/>
        <w:rPr>
          <w:rFonts w:ascii="黑体" w:hAnsi="黑体" w:eastAsia="黑体" w:cs="黑体"/>
          <w:color w:val="auto"/>
          <w:sz w:val="24"/>
          <w:highlight w:val="none"/>
        </w:rPr>
      </w:pPr>
      <w:r>
        <w:rPr>
          <w:rFonts w:hint="eastAsia" w:ascii="黑体" w:hAnsi="黑体" w:eastAsia="黑体" w:cs="黑体"/>
          <w:color w:val="auto"/>
          <w:sz w:val="24"/>
          <w:highlight w:val="none"/>
        </w:rPr>
        <w:t>一、服务事项</w:t>
      </w:r>
    </w:p>
    <w:p w14:paraId="32A2C953">
      <w:pPr>
        <w:spacing w:line="360" w:lineRule="auto"/>
        <w:ind w:firstLine="480" w:firstLineChars="200"/>
        <w:contextualSpacing/>
        <w:rPr>
          <w:color w:val="auto"/>
          <w:highlight w:val="none"/>
        </w:rPr>
      </w:pPr>
      <w:r>
        <w:rPr>
          <w:rFonts w:hint="eastAsia" w:ascii="宋体" w:hAnsi="宋体"/>
          <w:bCs/>
          <w:color w:val="auto"/>
          <w:sz w:val="24"/>
          <w:highlight w:val="none"/>
        </w:rPr>
        <w:t>甲方聘请乙方入围甲方建立的</w:t>
      </w:r>
      <w:r>
        <w:rPr>
          <w:rFonts w:hint="eastAsia" w:ascii="黑体" w:hAnsi="华文中宋" w:eastAsia="黑体"/>
          <w:bCs/>
          <w:color w:val="auto"/>
          <w:sz w:val="24"/>
          <w:szCs w:val="24"/>
          <w:highlight w:val="none"/>
          <w:lang w:val="en-US" w:eastAsia="zh-CN"/>
        </w:rPr>
        <w:t>宜兴市财政局</w:t>
      </w:r>
      <w:r>
        <w:rPr>
          <w:rFonts w:hint="eastAsia" w:ascii="黑体" w:hAnsi="黑体" w:eastAsia="黑体" w:cs="黑体"/>
          <w:color w:val="auto"/>
          <w:sz w:val="24"/>
          <w:highlight w:val="none"/>
          <w:lang w:eastAsia="zh-CN"/>
        </w:rPr>
        <w:t>2024-2025年度宜兴市市级投资项目审核咨询服务框架协议</w:t>
      </w:r>
      <w:r>
        <w:rPr>
          <w:rFonts w:hint="eastAsia" w:ascii="宋体" w:hAnsi="宋体"/>
          <w:bCs/>
          <w:color w:val="auto"/>
          <w:sz w:val="24"/>
          <w:highlight w:val="none"/>
        </w:rPr>
        <w:t>（以下简称“框架协议”），以备</w:t>
      </w:r>
      <w:r>
        <w:rPr>
          <w:rFonts w:hint="eastAsia" w:ascii="宋体" w:hAnsi="宋体"/>
          <w:bCs/>
          <w:color w:val="auto"/>
          <w:sz w:val="24"/>
          <w:highlight w:val="none"/>
          <w:lang w:eastAsia="zh-CN"/>
        </w:rPr>
        <w:t>征集人</w:t>
      </w:r>
      <w:r>
        <w:rPr>
          <w:rFonts w:hint="eastAsia" w:ascii="宋体" w:hAnsi="宋体"/>
          <w:bCs/>
          <w:color w:val="auto"/>
          <w:sz w:val="24"/>
          <w:highlight w:val="none"/>
        </w:rPr>
        <w:t>用于选取协审项目的被委托人，从事</w:t>
      </w:r>
      <w:r>
        <w:rPr>
          <w:rFonts w:hint="eastAsia" w:ascii="宋体" w:hAnsi="宋体"/>
          <w:bCs/>
          <w:color w:val="auto"/>
          <w:sz w:val="24"/>
          <w:highlight w:val="none"/>
          <w:lang w:eastAsia="zh-CN"/>
        </w:rPr>
        <w:t>市级</w:t>
      </w:r>
      <w:r>
        <w:rPr>
          <w:rFonts w:hint="eastAsia" w:ascii="宋体" w:hAnsi="宋体"/>
          <w:bCs/>
          <w:color w:val="auto"/>
          <w:sz w:val="24"/>
          <w:highlight w:val="none"/>
        </w:rPr>
        <w:t>投资项目</w:t>
      </w:r>
      <w:r>
        <w:rPr>
          <w:rFonts w:hint="eastAsia" w:ascii="宋体" w:hAnsi="宋体"/>
          <w:bCs/>
          <w:color w:val="auto"/>
          <w:sz w:val="24"/>
          <w:highlight w:val="none"/>
          <w:lang w:val="en-US" w:eastAsia="zh-CN"/>
        </w:rPr>
        <w:t>概算审核、</w:t>
      </w:r>
      <w:r>
        <w:rPr>
          <w:rFonts w:hint="eastAsia" w:ascii="宋体" w:hAnsi="宋体" w:eastAsia="宋体" w:cs="Times New Roman"/>
          <w:color w:val="auto"/>
          <w:sz w:val="24"/>
          <w:szCs w:val="24"/>
          <w:highlight w:val="none"/>
          <w:lang w:val="en-US" w:eastAsia="zh-CN"/>
        </w:rPr>
        <w:t>招标控制价审核、计日工等</w:t>
      </w:r>
      <w:r>
        <w:rPr>
          <w:rFonts w:hint="eastAsia" w:ascii="宋体" w:hAnsi="宋体"/>
          <w:bCs/>
          <w:color w:val="auto"/>
          <w:sz w:val="24"/>
          <w:highlight w:val="none"/>
        </w:rPr>
        <w:t>工作。</w:t>
      </w:r>
    </w:p>
    <w:p w14:paraId="7CCECC7B">
      <w:pPr>
        <w:spacing w:line="360" w:lineRule="auto"/>
        <w:contextualSpacing/>
        <w:rPr>
          <w:color w:val="auto"/>
          <w:highlight w:val="none"/>
        </w:rPr>
      </w:pPr>
      <w:bookmarkStart w:id="7" w:name="_Toc414887741"/>
      <w:bookmarkStart w:id="8" w:name="_Toc414975302"/>
      <w:bookmarkStart w:id="9" w:name="_Toc416420526"/>
      <w:r>
        <w:rPr>
          <w:rFonts w:hint="eastAsia" w:ascii="黑体" w:hAnsi="黑体" w:eastAsia="黑体" w:cs="黑体"/>
          <w:color w:val="auto"/>
          <w:sz w:val="24"/>
          <w:highlight w:val="none"/>
        </w:rPr>
        <w:t>二、框架协议有效期</w:t>
      </w:r>
      <w:bookmarkEnd w:id="7"/>
      <w:bookmarkEnd w:id="8"/>
      <w:bookmarkEnd w:id="9"/>
      <w:r>
        <w:rPr>
          <w:rFonts w:hint="eastAsia" w:ascii="黑体" w:hAnsi="黑体" w:eastAsia="黑体" w:cs="黑体"/>
          <w:color w:val="auto"/>
          <w:sz w:val="24"/>
          <w:highlight w:val="none"/>
          <w:lang w:eastAsia="zh-CN"/>
        </w:rPr>
        <w:t>：</w:t>
      </w:r>
      <w:r>
        <w:rPr>
          <w:rFonts w:hint="eastAsia" w:asciiTheme="minorEastAsia" w:hAnsiTheme="minorEastAsia"/>
          <w:color w:val="auto"/>
          <w:sz w:val="24"/>
          <w:szCs w:val="24"/>
          <w:highlight w:val="none"/>
          <w:lang w:val="zh-CN" w:eastAsia="zh-CN"/>
        </w:rPr>
        <w:t>自框架协议签订生效之日起至2025年12月31日</w:t>
      </w:r>
      <w:r>
        <w:rPr>
          <w:rFonts w:hint="eastAsia" w:ascii="宋体" w:hAnsi="宋体"/>
          <w:bCs/>
          <w:color w:val="auto"/>
          <w:sz w:val="24"/>
          <w:highlight w:val="none"/>
        </w:rPr>
        <w:t>。</w:t>
      </w:r>
    </w:p>
    <w:p w14:paraId="07749F8A">
      <w:pPr>
        <w:spacing w:line="360" w:lineRule="auto"/>
        <w:contextualSpacing/>
        <w:rPr>
          <w:rFonts w:ascii="黑体" w:hAnsi="黑体" w:eastAsia="黑体" w:cs="黑体"/>
          <w:color w:val="auto"/>
          <w:sz w:val="24"/>
          <w:highlight w:val="none"/>
        </w:rPr>
      </w:pPr>
      <w:r>
        <w:rPr>
          <w:rFonts w:hint="eastAsia" w:ascii="黑体" w:hAnsi="黑体" w:eastAsia="黑体" w:cs="黑体"/>
          <w:color w:val="auto"/>
          <w:sz w:val="24"/>
          <w:highlight w:val="none"/>
        </w:rPr>
        <w:t>三、组成本合同的有关文件</w:t>
      </w:r>
    </w:p>
    <w:p w14:paraId="5DDC600E">
      <w:pPr>
        <w:tabs>
          <w:tab w:val="left" w:pos="210"/>
          <w:tab w:val="left" w:pos="420"/>
          <w:tab w:val="left" w:pos="1155"/>
        </w:tabs>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关于本次框架协议采购相适应的文件及有关附件是本合同不可分割的组成部分，与本合同具有同等法律效力，这些文件包括但不限于：（1）征集文件（2）响应文件（3）入围通知书（4）入围供应商在响应和评标过程中所作其他有关承诺、声明、书面澄清等（5）相关业务考核办法等。</w:t>
      </w:r>
    </w:p>
    <w:p w14:paraId="753ED300">
      <w:pPr>
        <w:pStyle w:val="53"/>
        <w:numPr>
          <w:ilvl w:val="0"/>
          <w:numId w:val="6"/>
        </w:numPr>
        <w:spacing w:before="120" w:after="120" w:line="360" w:lineRule="auto"/>
        <w:rPr>
          <w:rFonts w:ascii="黑体" w:hAnsi="黑体" w:eastAsia="黑体" w:cs="黑体"/>
          <w:color w:val="auto"/>
          <w:sz w:val="24"/>
          <w:szCs w:val="24"/>
          <w:highlight w:val="none"/>
        </w:rPr>
      </w:pPr>
      <w:r>
        <w:rPr>
          <w:rFonts w:hint="eastAsia" w:ascii="黑体" w:hAnsi="黑体" w:eastAsia="黑体" w:cs="黑体"/>
          <w:color w:val="auto"/>
          <w:sz w:val="24"/>
          <w:szCs w:val="24"/>
          <w:highlight w:val="none"/>
        </w:rPr>
        <w:t>确定第二阶段成交供应商的方式</w:t>
      </w:r>
    </w:p>
    <w:p w14:paraId="35AF942F">
      <w:pPr>
        <w:pStyle w:val="53"/>
        <w:spacing w:before="120" w:after="120" w:line="360" w:lineRule="auto"/>
        <w:ind w:firstLine="480" w:firstLineChars="200"/>
        <w:rPr>
          <w:rFonts w:hint="eastAsia" w:hAnsi="宋体" w:eastAsiaTheme="minorEastAsia" w:cstheme="minorBidi"/>
          <w:bCs/>
          <w:color w:val="auto"/>
          <w:kern w:val="2"/>
          <w:sz w:val="24"/>
          <w:szCs w:val="22"/>
          <w:highlight w:val="none"/>
          <w:lang w:val="en-US" w:eastAsia="zh-CN" w:bidi="ar-SA"/>
        </w:rPr>
      </w:pPr>
      <w:r>
        <w:rPr>
          <w:rFonts w:hint="eastAsia" w:ascii="宋体" w:hAnsi="宋体" w:eastAsiaTheme="minorEastAsia" w:cstheme="minorBidi"/>
          <w:bCs/>
          <w:color w:val="auto"/>
          <w:kern w:val="2"/>
          <w:sz w:val="24"/>
          <w:szCs w:val="22"/>
          <w:highlight w:val="none"/>
          <w:lang w:val="en-US" w:eastAsia="zh-CN" w:bidi="ar-SA"/>
        </w:rPr>
        <w:t>直接选定，由甲方通过苏采云系统从第一阶段入围供应商中直接选定。第一阶段入围供应商的协议价格是征集人确定第二阶段成交供应商的最高限价</w:t>
      </w:r>
      <w:r>
        <w:rPr>
          <w:rFonts w:hint="eastAsia" w:hAnsi="宋体" w:eastAsiaTheme="minorEastAsia" w:cstheme="minorBidi"/>
          <w:bCs/>
          <w:color w:val="auto"/>
          <w:kern w:val="2"/>
          <w:sz w:val="24"/>
          <w:szCs w:val="22"/>
          <w:highlight w:val="none"/>
          <w:lang w:val="en-US" w:eastAsia="zh-CN" w:bidi="ar-SA"/>
        </w:rPr>
        <w:t>。</w:t>
      </w:r>
    </w:p>
    <w:p w14:paraId="0893A39E">
      <w:pPr>
        <w:pStyle w:val="53"/>
        <w:numPr>
          <w:ilvl w:val="0"/>
          <w:numId w:val="6"/>
        </w:numPr>
        <w:spacing w:before="120" w:after="120" w:line="360" w:lineRule="auto"/>
        <w:rPr>
          <w:rFonts w:ascii="黑体" w:hAnsi="黑体" w:eastAsia="黑体" w:cs="黑体"/>
          <w:color w:val="auto"/>
          <w:sz w:val="24"/>
          <w:szCs w:val="24"/>
          <w:highlight w:val="none"/>
        </w:rPr>
      </w:pPr>
      <w:bookmarkStart w:id="10" w:name="_Toc416420527"/>
      <w:bookmarkStart w:id="11" w:name="_Toc414887742"/>
      <w:bookmarkStart w:id="12" w:name="_Toc414975303"/>
      <w:r>
        <w:rPr>
          <w:rFonts w:hint="eastAsia" w:ascii="黑体" w:hAnsi="黑体" w:eastAsia="黑体" w:cs="黑体"/>
          <w:color w:val="auto"/>
          <w:sz w:val="24"/>
          <w:szCs w:val="24"/>
          <w:highlight w:val="none"/>
        </w:rPr>
        <w:t>双方的权利和义务</w:t>
      </w:r>
      <w:bookmarkEnd w:id="10"/>
      <w:bookmarkEnd w:id="11"/>
      <w:bookmarkEnd w:id="12"/>
    </w:p>
    <w:p w14:paraId="2BCB27D7">
      <w:pPr>
        <w:spacing w:line="360" w:lineRule="auto"/>
        <w:contextualSpacing/>
        <w:rPr>
          <w:rFonts w:ascii="宋体" w:hAnsi="宋体"/>
          <w:bCs/>
          <w:color w:val="auto"/>
          <w:sz w:val="24"/>
          <w:highlight w:val="none"/>
        </w:rPr>
      </w:pPr>
      <w:r>
        <w:rPr>
          <w:rFonts w:hint="eastAsia" w:ascii="宋体" w:hAnsi="宋体"/>
          <w:bCs/>
          <w:color w:val="auto"/>
          <w:sz w:val="24"/>
          <w:highlight w:val="none"/>
        </w:rPr>
        <w:t>（一）甲方的权利和义务</w:t>
      </w:r>
    </w:p>
    <w:p w14:paraId="67A9B760">
      <w:pPr>
        <w:tabs>
          <w:tab w:val="left" w:pos="1050"/>
        </w:tabs>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1、甲方有权对乙方在</w:t>
      </w:r>
      <w:r>
        <w:rPr>
          <w:rFonts w:hint="eastAsia" w:ascii="宋体" w:hAnsi="宋体"/>
          <w:bCs/>
          <w:color w:val="auto"/>
          <w:sz w:val="24"/>
          <w:highlight w:val="none"/>
          <w:lang w:eastAsia="zh-CN"/>
        </w:rPr>
        <w:t>宜兴市</w:t>
      </w:r>
      <w:r>
        <w:rPr>
          <w:rFonts w:hint="eastAsia" w:ascii="宋体" w:hAnsi="宋体"/>
          <w:bCs/>
          <w:color w:val="auto"/>
          <w:sz w:val="24"/>
          <w:highlight w:val="none"/>
        </w:rPr>
        <w:t>开展的</w:t>
      </w:r>
      <w:r>
        <w:rPr>
          <w:rFonts w:hint="eastAsia" w:ascii="宋体" w:hAnsi="宋体"/>
          <w:bCs/>
          <w:color w:val="auto"/>
          <w:sz w:val="24"/>
          <w:highlight w:val="none"/>
          <w:lang w:val="en-US" w:eastAsia="zh-CN"/>
        </w:rPr>
        <w:t>审核</w:t>
      </w:r>
      <w:r>
        <w:rPr>
          <w:rFonts w:hint="eastAsia" w:ascii="宋体" w:hAnsi="宋体"/>
          <w:bCs/>
          <w:color w:val="auto"/>
          <w:sz w:val="24"/>
          <w:highlight w:val="none"/>
        </w:rPr>
        <w:t>咨询服务业务予以指导和监督，在框架协议有效期内和乙方</w:t>
      </w:r>
      <w:r>
        <w:rPr>
          <w:rFonts w:hint="eastAsia" w:ascii="宋体" w:hAnsi="宋体"/>
          <w:bCs/>
          <w:color w:val="auto"/>
          <w:sz w:val="24"/>
          <w:highlight w:val="none"/>
          <w:lang w:val="en-US" w:eastAsia="zh-CN"/>
        </w:rPr>
        <w:t>审核</w:t>
      </w:r>
      <w:r>
        <w:rPr>
          <w:rFonts w:hint="eastAsia" w:ascii="宋体" w:hAnsi="宋体"/>
          <w:bCs/>
          <w:color w:val="auto"/>
          <w:sz w:val="24"/>
          <w:highlight w:val="none"/>
        </w:rPr>
        <w:t>咨询服务行为延续期间，甲方依据国家有关规定、征集文件、入围供应商的响应文件以及相关管理规定等文件和资料，对乙方实施考核管理。并根据考核结果和征集文件要求，对乙方进行解除其框架协议的处理。</w:t>
      </w:r>
    </w:p>
    <w:p w14:paraId="2C30F62D">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2、甲方（</w:t>
      </w:r>
      <w:r>
        <w:rPr>
          <w:rFonts w:hint="eastAsia" w:ascii="宋体" w:hAnsi="宋体"/>
          <w:bCs/>
          <w:color w:val="auto"/>
          <w:sz w:val="24"/>
          <w:highlight w:val="none"/>
          <w:lang w:eastAsia="zh-CN"/>
        </w:rPr>
        <w:t>征集人</w:t>
      </w:r>
      <w:r>
        <w:rPr>
          <w:rFonts w:hint="eastAsia" w:ascii="宋体" w:hAnsi="宋体"/>
          <w:bCs/>
          <w:color w:val="auto"/>
          <w:sz w:val="24"/>
          <w:highlight w:val="none"/>
        </w:rPr>
        <w:t>）根据委托项目的审核进度，按双方咨询合同约定方式支付服务费用。</w:t>
      </w:r>
    </w:p>
    <w:p w14:paraId="16B2E31B">
      <w:pPr>
        <w:spacing w:line="360" w:lineRule="auto"/>
        <w:contextualSpacing/>
        <w:rPr>
          <w:rFonts w:ascii="宋体" w:hAnsi="宋体"/>
          <w:bCs/>
          <w:color w:val="auto"/>
          <w:sz w:val="24"/>
          <w:highlight w:val="none"/>
        </w:rPr>
      </w:pPr>
      <w:r>
        <w:rPr>
          <w:rFonts w:hint="eastAsia" w:ascii="宋体" w:hAnsi="宋体"/>
          <w:bCs/>
          <w:color w:val="auto"/>
          <w:sz w:val="24"/>
          <w:highlight w:val="none"/>
        </w:rPr>
        <w:t>（二）乙方的权利和义务</w:t>
      </w:r>
    </w:p>
    <w:p w14:paraId="64F9F0F1">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1、乙方具有为</w:t>
      </w:r>
      <w:r>
        <w:rPr>
          <w:rFonts w:hint="eastAsia" w:ascii="宋体" w:hAnsi="宋体"/>
          <w:bCs/>
          <w:color w:val="auto"/>
          <w:sz w:val="24"/>
          <w:highlight w:val="none"/>
          <w:lang w:eastAsia="zh-CN"/>
        </w:rPr>
        <w:t>征集人</w:t>
      </w:r>
      <w:r>
        <w:rPr>
          <w:rFonts w:hint="eastAsia" w:ascii="宋体" w:hAnsi="宋体"/>
          <w:bCs/>
          <w:color w:val="auto"/>
          <w:sz w:val="24"/>
          <w:highlight w:val="none"/>
        </w:rPr>
        <w:t>提供相关服务的资格。</w:t>
      </w:r>
    </w:p>
    <w:p w14:paraId="4A8E5709">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2、乙方有权拒绝</w:t>
      </w:r>
      <w:r>
        <w:rPr>
          <w:rFonts w:hint="eastAsia" w:ascii="宋体" w:hAnsi="宋体"/>
          <w:bCs/>
          <w:color w:val="auto"/>
          <w:sz w:val="24"/>
          <w:highlight w:val="none"/>
          <w:lang w:eastAsia="zh-CN"/>
        </w:rPr>
        <w:t>征集人</w:t>
      </w:r>
      <w:r>
        <w:rPr>
          <w:rFonts w:hint="eastAsia" w:ascii="宋体" w:hAnsi="宋体"/>
          <w:bCs/>
          <w:color w:val="auto"/>
          <w:sz w:val="24"/>
          <w:highlight w:val="none"/>
        </w:rPr>
        <w:t>提出的以本次框架协议采购名义购买非入围货物、服务、配件或满足</w:t>
      </w:r>
      <w:r>
        <w:rPr>
          <w:rFonts w:hint="eastAsia" w:ascii="宋体" w:hAnsi="宋体"/>
          <w:bCs/>
          <w:color w:val="auto"/>
          <w:sz w:val="24"/>
          <w:highlight w:val="none"/>
          <w:lang w:eastAsia="zh-CN"/>
        </w:rPr>
        <w:t>征集人</w:t>
      </w:r>
      <w:r>
        <w:rPr>
          <w:rFonts w:hint="eastAsia" w:ascii="宋体" w:hAnsi="宋体"/>
          <w:bCs/>
          <w:color w:val="auto"/>
          <w:sz w:val="24"/>
          <w:highlight w:val="none"/>
        </w:rPr>
        <w:t xml:space="preserve">超出承诺以外的其他要求。 </w:t>
      </w:r>
    </w:p>
    <w:p w14:paraId="5EEFB7A0">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3、对</w:t>
      </w:r>
      <w:r>
        <w:rPr>
          <w:rFonts w:hint="eastAsia" w:ascii="宋体" w:hAnsi="宋体"/>
          <w:bCs/>
          <w:color w:val="auto"/>
          <w:sz w:val="24"/>
          <w:highlight w:val="none"/>
          <w:lang w:eastAsia="zh-CN"/>
        </w:rPr>
        <w:t>征集人</w:t>
      </w:r>
      <w:r>
        <w:rPr>
          <w:rFonts w:hint="eastAsia" w:ascii="宋体" w:hAnsi="宋体"/>
          <w:bCs/>
          <w:color w:val="auto"/>
          <w:sz w:val="24"/>
          <w:highlight w:val="none"/>
        </w:rPr>
        <w:t xml:space="preserve">在购买入围服务过程中的不正当要求和违规行为进行投诉，并要求有关部门作出处理。 </w:t>
      </w:r>
    </w:p>
    <w:p w14:paraId="276CF3C9">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4、有权拒绝任何个人以</w:t>
      </w:r>
      <w:r>
        <w:rPr>
          <w:rFonts w:hint="eastAsia" w:ascii="宋体" w:hAnsi="宋体"/>
          <w:bCs/>
          <w:color w:val="auto"/>
          <w:sz w:val="24"/>
          <w:highlight w:val="none"/>
          <w:lang w:eastAsia="zh-CN"/>
        </w:rPr>
        <w:t>征集人</w:t>
      </w:r>
      <w:r>
        <w:rPr>
          <w:rFonts w:hint="eastAsia" w:ascii="宋体" w:hAnsi="宋体"/>
          <w:bCs/>
          <w:color w:val="auto"/>
          <w:sz w:val="24"/>
          <w:highlight w:val="none"/>
        </w:rPr>
        <w:t>名义按照协议价格购买入围服务和进行现金交易。</w:t>
      </w:r>
    </w:p>
    <w:p w14:paraId="6B574546">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5、乙方的工作必须接受甲方的考核，考核</w:t>
      </w:r>
      <w:r>
        <w:rPr>
          <w:rFonts w:hint="eastAsia" w:ascii="宋体" w:hAnsi="宋体"/>
          <w:bCs/>
          <w:color w:val="auto"/>
          <w:sz w:val="24"/>
          <w:highlight w:val="none"/>
          <w:lang w:val="en-US" w:eastAsia="zh-CN"/>
        </w:rPr>
        <w:t>按宜兴市财政局</w:t>
      </w:r>
      <w:r>
        <w:rPr>
          <w:rFonts w:hint="eastAsia" w:ascii="宋体" w:hAnsi="宋体"/>
          <w:bCs/>
          <w:color w:val="auto"/>
          <w:sz w:val="24"/>
          <w:highlight w:val="none"/>
          <w:lang w:eastAsia="zh-CN"/>
        </w:rPr>
        <w:t>相关</w:t>
      </w:r>
      <w:r>
        <w:rPr>
          <w:rFonts w:hint="eastAsia" w:ascii="宋体" w:hAnsi="宋体"/>
          <w:bCs/>
          <w:color w:val="auto"/>
          <w:sz w:val="24"/>
          <w:highlight w:val="none"/>
        </w:rPr>
        <w:t>文件执行，主要考核内容包括：</w:t>
      </w:r>
      <w:r>
        <w:rPr>
          <w:rFonts w:hint="eastAsia" w:ascii="宋体" w:hAnsi="宋体"/>
          <w:bCs/>
          <w:color w:val="auto"/>
          <w:sz w:val="24"/>
          <w:highlight w:val="none"/>
          <w:lang w:val="en-US" w:eastAsia="zh-CN"/>
        </w:rPr>
        <w:t>专业设备、审核质量、审核时效、档案管理</w:t>
      </w:r>
      <w:r>
        <w:rPr>
          <w:rFonts w:hint="eastAsia" w:ascii="宋体" w:hAnsi="宋体"/>
          <w:bCs/>
          <w:color w:val="auto"/>
          <w:sz w:val="24"/>
          <w:highlight w:val="none"/>
        </w:rPr>
        <w:t>等方面，并接受根据考核结果做出的奖惩。对不同意参加考核的乙方，甲方有权终止合同。（考核办法如有修订，按修订后文件执行）</w:t>
      </w:r>
    </w:p>
    <w:p w14:paraId="170A382C">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、乙方应建立健全内部控制制度，加强对执业人员的培训和管理，确保能满足甲方的服务需要。</w:t>
      </w:r>
    </w:p>
    <w:p w14:paraId="5351AEFB">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、乙方应积极参与甲方受托工作，不得因业务量大小、难易程度、地域远近、费用高低而拒绝甲方按相关规定委托的具体项目和工作内容。</w:t>
      </w:r>
    </w:p>
    <w:p w14:paraId="136C91AF">
      <w:pPr>
        <w:spacing w:line="360" w:lineRule="auto"/>
        <w:ind w:firstLine="480" w:firstLineChars="200"/>
        <w:contextualSpacing/>
        <w:rPr>
          <w:rFonts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bCs/>
          <w:color w:val="auto"/>
          <w:sz w:val="24"/>
          <w:highlight w:val="none"/>
        </w:rPr>
        <w:t>、</w:t>
      </w:r>
      <w:r>
        <w:rPr>
          <w:rFonts w:hint="eastAsia" w:ascii="宋体" w:hAnsi="宋体"/>
          <w:color w:val="auto"/>
          <w:sz w:val="24"/>
          <w:highlight w:val="none"/>
        </w:rPr>
        <w:t>乙方对造价</w:t>
      </w:r>
      <w:r>
        <w:rPr>
          <w:rFonts w:hint="eastAsia" w:ascii="宋体" w:hAnsi="宋体"/>
          <w:color w:val="auto"/>
          <w:sz w:val="24"/>
          <w:highlight w:val="none"/>
          <w:lang w:val="en-US" w:eastAsia="zh-CN"/>
        </w:rPr>
        <w:t>审核</w:t>
      </w:r>
      <w:r>
        <w:rPr>
          <w:rFonts w:hint="eastAsia" w:ascii="宋体" w:hAnsi="宋体"/>
          <w:color w:val="auto"/>
          <w:sz w:val="24"/>
          <w:highlight w:val="none"/>
        </w:rPr>
        <w:t>咨询服务业务不得分包和转包，不得用项目组成员以外的人员进行造价</w:t>
      </w:r>
      <w:r>
        <w:rPr>
          <w:rFonts w:hint="eastAsia" w:ascii="宋体" w:hAnsi="宋体"/>
          <w:color w:val="auto"/>
          <w:sz w:val="24"/>
          <w:highlight w:val="none"/>
          <w:lang w:val="en-US" w:eastAsia="zh-CN"/>
        </w:rPr>
        <w:t>审核</w:t>
      </w:r>
      <w:r>
        <w:rPr>
          <w:rFonts w:hint="eastAsia" w:ascii="宋体" w:hAnsi="宋体"/>
          <w:color w:val="auto"/>
          <w:sz w:val="24"/>
          <w:highlight w:val="none"/>
        </w:rPr>
        <w:t>咨询服务，甲方有权从项目组成员中指定具体项目负责人，指定项目负责人后除不可抗力因素外不得更换。</w:t>
      </w:r>
    </w:p>
    <w:p w14:paraId="2A29FF1A">
      <w:pPr>
        <w:spacing w:line="360" w:lineRule="auto"/>
        <w:ind w:firstLine="480" w:firstLineChars="200"/>
        <w:contextualSpacing/>
        <w:rPr>
          <w:rFonts w:ascii="宋体" w:hAnsi="宋体"/>
          <w:color w:val="auto"/>
          <w:sz w:val="24"/>
          <w:highlight w:val="none"/>
        </w:rPr>
      </w:pPr>
      <w:r>
        <w:rPr>
          <w:rFonts w:hint="eastAsia" w:ascii="宋体" w:hAnsi="宋体"/>
          <w:color w:val="auto"/>
          <w:sz w:val="24"/>
          <w:highlight w:val="none"/>
          <w:lang w:val="en-US" w:eastAsia="zh-CN"/>
        </w:rPr>
        <w:t>9</w:t>
      </w:r>
      <w:r>
        <w:rPr>
          <w:rFonts w:hint="eastAsia" w:ascii="宋体" w:hAnsi="宋体"/>
          <w:color w:val="auto"/>
          <w:sz w:val="24"/>
          <w:highlight w:val="none"/>
        </w:rPr>
        <w:t>、乙方有下列情形之一的，经甲方核实，甲方可立即全面终止本协议的执行，造成损失的应当赔偿损失。同时提请有关部门追究有关当事人的责任：</w:t>
      </w:r>
    </w:p>
    <w:p w14:paraId="6545FD4E">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（1）没有按照造价</w:t>
      </w:r>
      <w:r>
        <w:rPr>
          <w:rFonts w:hint="eastAsia" w:ascii="宋体" w:hAnsi="宋体"/>
          <w:color w:val="auto"/>
          <w:sz w:val="24"/>
          <w:highlight w:val="none"/>
          <w:lang w:val="en-US" w:eastAsia="zh-CN"/>
        </w:rPr>
        <w:t>审核</w:t>
      </w:r>
      <w:r>
        <w:rPr>
          <w:rFonts w:hint="eastAsia" w:ascii="宋体" w:hAnsi="宋体"/>
          <w:color w:val="auto"/>
          <w:sz w:val="24"/>
          <w:highlight w:val="none"/>
        </w:rPr>
        <w:t>咨询服务程序和步骤开展工作，导致造价</w:t>
      </w:r>
      <w:r>
        <w:rPr>
          <w:rFonts w:hint="eastAsia" w:ascii="宋体" w:hAnsi="宋体"/>
          <w:color w:val="auto"/>
          <w:sz w:val="24"/>
          <w:highlight w:val="none"/>
          <w:lang w:val="en-US" w:eastAsia="zh-CN"/>
        </w:rPr>
        <w:t>审核</w:t>
      </w:r>
      <w:r>
        <w:rPr>
          <w:rFonts w:hint="eastAsia" w:ascii="宋体" w:hAnsi="宋体"/>
          <w:color w:val="auto"/>
          <w:sz w:val="24"/>
          <w:highlight w:val="none"/>
        </w:rPr>
        <w:t>咨询服务结果产生负面影响的，或重大违纪违规问题应当披露而未披露的；</w:t>
      </w:r>
    </w:p>
    <w:p w14:paraId="08985F82">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（2）发生将委托的造价</w:t>
      </w:r>
      <w:r>
        <w:rPr>
          <w:rFonts w:hint="eastAsia" w:ascii="宋体" w:hAnsi="宋体"/>
          <w:color w:val="auto"/>
          <w:sz w:val="24"/>
          <w:highlight w:val="none"/>
          <w:lang w:val="en-US" w:eastAsia="zh-CN"/>
        </w:rPr>
        <w:t>审核</w:t>
      </w:r>
      <w:r>
        <w:rPr>
          <w:rFonts w:hint="eastAsia" w:ascii="宋体" w:hAnsi="宋体"/>
          <w:color w:val="auto"/>
          <w:sz w:val="24"/>
          <w:highlight w:val="none"/>
        </w:rPr>
        <w:t>咨询服务业务转包给其他单位或个人；</w:t>
      </w:r>
    </w:p>
    <w:p w14:paraId="65ADBD89">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（3）不履行回避义务，接受相关单位委托，承担本业务；</w:t>
      </w:r>
    </w:p>
    <w:p w14:paraId="7A0F6A89">
      <w:pPr>
        <w:adjustRightInd w:val="0"/>
        <w:snapToGrid w:val="0"/>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（4）</w:t>
      </w:r>
      <w:r>
        <w:rPr>
          <w:rFonts w:hint="eastAsia" w:ascii="宋体" w:hAnsi="宋体"/>
          <w:color w:val="auto"/>
          <w:sz w:val="24"/>
          <w:highlight w:val="none"/>
        </w:rPr>
        <w:t>其他违反法律、行政法规的行为</w:t>
      </w:r>
      <w:r>
        <w:rPr>
          <w:rFonts w:hint="eastAsia" w:ascii="宋体" w:hAnsi="宋体" w:cs="宋体"/>
          <w:color w:val="auto"/>
          <w:sz w:val="24"/>
          <w:highlight w:val="none"/>
        </w:rPr>
        <w:t>。</w:t>
      </w:r>
    </w:p>
    <w:p w14:paraId="4B9A31DD">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1</w:t>
      </w:r>
      <w:r>
        <w:rPr>
          <w:rFonts w:hint="eastAsia" w:ascii="宋体" w:hAnsi="宋体"/>
          <w:bCs/>
          <w:color w:val="auto"/>
          <w:sz w:val="24"/>
          <w:highlight w:val="none"/>
          <w:lang w:val="en-US" w:eastAsia="zh-CN"/>
        </w:rPr>
        <w:t>0</w:t>
      </w:r>
      <w:r>
        <w:rPr>
          <w:rFonts w:hint="eastAsia" w:ascii="宋体" w:hAnsi="宋体"/>
          <w:bCs/>
          <w:color w:val="auto"/>
          <w:sz w:val="24"/>
          <w:highlight w:val="none"/>
        </w:rPr>
        <w:t>、乙方应严格按甲方的协审要求，客观公正地开展审核工作，严格遵守有关法律法规、规章制度，对审核意见的真实性、合法性、完整性负法律责任。</w:t>
      </w:r>
    </w:p>
    <w:p w14:paraId="3705AF6A">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1</w:t>
      </w:r>
      <w:r>
        <w:rPr>
          <w:rFonts w:hint="eastAsia" w:ascii="宋体" w:hAnsi="宋体"/>
          <w:bCs/>
          <w:color w:val="auto"/>
          <w:sz w:val="24"/>
          <w:highlight w:val="none"/>
          <w:lang w:val="en-US" w:eastAsia="zh-CN"/>
        </w:rPr>
        <w:t>1</w:t>
      </w:r>
      <w:r>
        <w:rPr>
          <w:rFonts w:hint="eastAsia" w:ascii="宋体" w:hAnsi="宋体"/>
          <w:bCs/>
          <w:color w:val="auto"/>
          <w:sz w:val="24"/>
          <w:highlight w:val="none"/>
        </w:rPr>
        <w:t>、乙方在审核过程中，应加强审核质量控制，定期向甲方（</w:t>
      </w:r>
      <w:r>
        <w:rPr>
          <w:rFonts w:hint="eastAsia" w:ascii="宋体" w:hAnsi="宋体"/>
          <w:bCs/>
          <w:color w:val="auto"/>
          <w:sz w:val="24"/>
          <w:highlight w:val="none"/>
          <w:lang w:eastAsia="zh-CN"/>
        </w:rPr>
        <w:t>征集人</w:t>
      </w:r>
      <w:r>
        <w:rPr>
          <w:rFonts w:hint="eastAsia" w:ascii="宋体" w:hAnsi="宋体"/>
          <w:bCs/>
          <w:color w:val="auto"/>
          <w:sz w:val="24"/>
          <w:highlight w:val="none"/>
        </w:rPr>
        <w:t>）提供审核工作进展信息，及时反映工作中出现的各种情况。</w:t>
      </w:r>
    </w:p>
    <w:p w14:paraId="295334F8">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1</w:t>
      </w:r>
      <w:r>
        <w:rPr>
          <w:rFonts w:hint="eastAsia" w:ascii="宋体" w:hAnsi="宋体"/>
          <w:bCs/>
          <w:color w:val="auto"/>
          <w:sz w:val="24"/>
          <w:highlight w:val="none"/>
          <w:lang w:val="en-US" w:eastAsia="zh-CN"/>
        </w:rPr>
        <w:t>2</w:t>
      </w:r>
      <w:r>
        <w:rPr>
          <w:rFonts w:hint="eastAsia" w:ascii="宋体" w:hAnsi="宋体"/>
          <w:bCs/>
          <w:color w:val="auto"/>
          <w:sz w:val="24"/>
          <w:highlight w:val="none"/>
        </w:rPr>
        <w:t>、乙方应严格执行审计纪律，不得要求被审计单位支付除审计费以外应由乙方支付的任何费用，不得以任何形式向任何单位或个人披露审核项目的有关信息，更不得对外提供、泄漏或公开项目审核的有关情况。</w:t>
      </w:r>
    </w:p>
    <w:p w14:paraId="7DDD4151">
      <w:pPr>
        <w:spacing w:line="360" w:lineRule="auto"/>
        <w:ind w:firstLine="480" w:firstLineChars="200"/>
        <w:contextualSpacing/>
        <w:rPr>
          <w:rFonts w:ascii="宋体" w:hAnsi="宋体"/>
          <w:color w:val="auto"/>
          <w:sz w:val="24"/>
          <w:highlight w:val="none"/>
        </w:rPr>
      </w:pPr>
      <w:r>
        <w:rPr>
          <w:rFonts w:hint="eastAsia" w:ascii="宋体" w:hAnsi="宋体"/>
          <w:bCs/>
          <w:color w:val="auto"/>
          <w:sz w:val="24"/>
          <w:highlight w:val="none"/>
        </w:rPr>
        <w:t>1</w:t>
      </w:r>
      <w:r>
        <w:rPr>
          <w:rFonts w:hint="eastAsia" w:ascii="宋体" w:hAnsi="宋体"/>
          <w:bCs/>
          <w:color w:val="auto"/>
          <w:sz w:val="24"/>
          <w:highlight w:val="none"/>
          <w:lang w:val="en-US" w:eastAsia="zh-CN"/>
        </w:rPr>
        <w:t>3</w:t>
      </w:r>
      <w:r>
        <w:rPr>
          <w:rFonts w:hint="eastAsia" w:ascii="宋体" w:hAnsi="宋体"/>
          <w:bCs/>
          <w:color w:val="auto"/>
          <w:sz w:val="24"/>
          <w:highlight w:val="none"/>
        </w:rPr>
        <w:t>、乙方应保证甲方（</w:t>
      </w:r>
      <w:r>
        <w:rPr>
          <w:rFonts w:hint="eastAsia" w:ascii="宋体" w:hAnsi="宋体"/>
          <w:bCs/>
          <w:color w:val="auto"/>
          <w:sz w:val="24"/>
          <w:highlight w:val="none"/>
          <w:lang w:eastAsia="zh-CN"/>
        </w:rPr>
        <w:t>征集人</w:t>
      </w:r>
      <w:r>
        <w:rPr>
          <w:rFonts w:hint="eastAsia" w:ascii="宋体" w:hAnsi="宋体"/>
          <w:bCs/>
          <w:color w:val="auto"/>
          <w:sz w:val="24"/>
          <w:highlight w:val="none"/>
        </w:rPr>
        <w:t>）在合同履行期限内不受第三方提出侵犯其专利权、版权、商标权或其他权利的起诉。一旦出现侵权，乙方应承担全部责任。</w:t>
      </w:r>
      <w:bookmarkStart w:id="13" w:name="_Toc414975304"/>
      <w:bookmarkStart w:id="14" w:name="_Toc416420528"/>
      <w:bookmarkStart w:id="15" w:name="_Toc414887743"/>
    </w:p>
    <w:p w14:paraId="77DBE0EE">
      <w:pPr>
        <w:spacing w:line="360" w:lineRule="auto"/>
        <w:contextualSpacing/>
        <w:rPr>
          <w:rFonts w:ascii="黑体" w:hAnsi="黑体" w:eastAsia="黑体" w:cs="黑体"/>
          <w:color w:val="auto"/>
          <w:sz w:val="24"/>
          <w:highlight w:val="none"/>
        </w:rPr>
      </w:pPr>
      <w:r>
        <w:rPr>
          <w:rFonts w:hint="eastAsia" w:ascii="黑体" w:hAnsi="黑体" w:eastAsia="黑体" w:cs="黑体"/>
          <w:color w:val="auto"/>
          <w:sz w:val="24"/>
          <w:highlight w:val="none"/>
        </w:rPr>
        <w:t>六、框架协议造价人员</w:t>
      </w:r>
    </w:p>
    <w:p w14:paraId="524F2ECD">
      <w:pPr>
        <w:spacing w:line="360" w:lineRule="auto"/>
        <w:ind w:firstLine="480" w:firstLineChars="200"/>
        <w:contextualSpacing/>
        <w:rPr>
          <w:rFonts w:hint="eastAsia" w:ascii="宋体" w:hAnsi="宋体" w:eastAsiaTheme="minorEastAsia"/>
          <w:bCs/>
          <w:color w:val="auto"/>
          <w:sz w:val="24"/>
          <w:highlight w:val="none"/>
          <w:lang w:val="en-US" w:eastAsia="zh-CN"/>
        </w:rPr>
      </w:pPr>
      <w:r>
        <w:rPr>
          <w:rFonts w:hint="eastAsia" w:ascii="宋体" w:hAnsi="宋体"/>
          <w:bCs/>
          <w:color w:val="auto"/>
          <w:sz w:val="24"/>
          <w:highlight w:val="none"/>
        </w:rPr>
        <w:t>乙方参与甲方（</w:t>
      </w:r>
      <w:r>
        <w:rPr>
          <w:rFonts w:hint="eastAsia" w:ascii="宋体" w:hAnsi="宋体"/>
          <w:bCs/>
          <w:color w:val="auto"/>
          <w:sz w:val="24"/>
          <w:highlight w:val="none"/>
          <w:lang w:eastAsia="zh-CN"/>
        </w:rPr>
        <w:t>征集人</w:t>
      </w:r>
      <w:r>
        <w:rPr>
          <w:rFonts w:hint="eastAsia" w:ascii="宋体" w:hAnsi="宋体"/>
          <w:bCs/>
          <w:color w:val="auto"/>
          <w:sz w:val="24"/>
          <w:highlight w:val="none"/>
        </w:rPr>
        <w:t>）组织实施的审计项目时，协审人员只能在</w:t>
      </w:r>
      <w:r>
        <w:rPr>
          <w:rFonts w:hint="eastAsia" w:ascii="宋体" w:hAnsi="宋体"/>
          <w:bCs/>
          <w:color w:val="auto"/>
          <w:sz w:val="24"/>
          <w:highlight w:val="none"/>
          <w:lang w:val="en-US" w:eastAsia="zh-CN"/>
        </w:rPr>
        <w:t>入围人员</w:t>
      </w:r>
      <w:r>
        <w:rPr>
          <w:rFonts w:hint="eastAsia" w:ascii="宋体" w:hAnsi="宋体"/>
          <w:bCs/>
          <w:color w:val="auto"/>
          <w:sz w:val="24"/>
          <w:highlight w:val="none"/>
        </w:rPr>
        <w:t>中产生，</w:t>
      </w:r>
      <w:r>
        <w:rPr>
          <w:rFonts w:hint="eastAsia" w:ascii="宋体" w:hAnsi="宋体"/>
          <w:bCs/>
          <w:color w:val="auto"/>
          <w:sz w:val="24"/>
          <w:highlight w:val="none"/>
          <w:lang w:val="en-US" w:eastAsia="zh-CN"/>
        </w:rPr>
        <w:t>按投标承诺驻宜兴开展工作，</w:t>
      </w:r>
      <w:r>
        <w:rPr>
          <w:rFonts w:hint="eastAsia" w:ascii="宋体" w:hAnsi="宋体"/>
          <w:bCs/>
          <w:color w:val="auto"/>
          <w:sz w:val="24"/>
          <w:highlight w:val="none"/>
        </w:rPr>
        <w:t>未经甲方（</w:t>
      </w:r>
      <w:r>
        <w:rPr>
          <w:rFonts w:hint="eastAsia" w:ascii="宋体" w:hAnsi="宋体"/>
          <w:bCs/>
          <w:color w:val="auto"/>
          <w:sz w:val="24"/>
          <w:highlight w:val="none"/>
          <w:lang w:val="en-US" w:eastAsia="zh-CN"/>
        </w:rPr>
        <w:t>征集</w:t>
      </w:r>
      <w:r>
        <w:rPr>
          <w:rFonts w:hint="eastAsia" w:ascii="宋体" w:hAnsi="宋体"/>
          <w:bCs/>
          <w:color w:val="auto"/>
          <w:sz w:val="24"/>
          <w:highlight w:val="none"/>
        </w:rPr>
        <w:t>人）同意，不得私自更换</w:t>
      </w:r>
      <w:r>
        <w:rPr>
          <w:rFonts w:hint="eastAsia" w:ascii="宋体" w:hAnsi="宋体"/>
          <w:bCs/>
          <w:color w:val="auto"/>
          <w:sz w:val="24"/>
          <w:highlight w:val="none"/>
          <w:lang w:eastAsia="zh-CN"/>
        </w:rPr>
        <w:t>。</w:t>
      </w:r>
    </w:p>
    <w:p w14:paraId="39ADFF04">
      <w:pPr>
        <w:spacing w:line="360" w:lineRule="auto"/>
        <w:contextualSpacing/>
        <w:rPr>
          <w:rFonts w:ascii="黑体" w:hAnsi="黑体" w:eastAsia="黑体" w:cs="黑体"/>
          <w:color w:val="auto"/>
          <w:sz w:val="24"/>
          <w:highlight w:val="none"/>
        </w:rPr>
      </w:pPr>
      <w:r>
        <w:rPr>
          <w:rFonts w:hint="eastAsia" w:ascii="黑体" w:hAnsi="黑体" w:eastAsia="黑体" w:cs="黑体"/>
          <w:color w:val="auto"/>
          <w:sz w:val="24"/>
          <w:highlight w:val="none"/>
        </w:rPr>
        <w:t>七、服务费用</w:t>
      </w:r>
      <w:bookmarkEnd w:id="13"/>
      <w:bookmarkEnd w:id="14"/>
      <w:bookmarkEnd w:id="15"/>
    </w:p>
    <w:p w14:paraId="7518D6E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1</w:t>
      </w:r>
      <w:r>
        <w:rPr>
          <w:rFonts w:hint="eastAsia" w:ascii="宋体" w:hAnsi="宋体"/>
          <w:bCs/>
          <w:color w:val="auto"/>
          <w:sz w:val="24"/>
          <w:highlight w:val="none"/>
        </w:rPr>
        <w:t>、</w:t>
      </w:r>
      <w:r>
        <w:rPr>
          <w:rFonts w:hint="eastAsia" w:asciiTheme="minorEastAsia" w:hAnsiTheme="minorEastAsia"/>
          <w:color w:val="auto"/>
          <w:sz w:val="24"/>
          <w:szCs w:val="24"/>
          <w:highlight w:val="none"/>
          <w:lang w:val="en-US" w:eastAsia="zh-CN"/>
        </w:rPr>
        <w:t>根据“收费标准、报价系数以及考核结果”结算工程造价咨询服务费用。</w:t>
      </w:r>
    </w:p>
    <w:p w14:paraId="4F65B49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备注：实际工程造价咨询服务费用=项目收费标准×报价系数×考核系数</w:t>
      </w:r>
    </w:p>
    <w:p w14:paraId="08DA3B2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color w:val="auto"/>
          <w:highlight w:val="none"/>
          <w:lang w:val="en-US" w:eastAsia="zh-CN"/>
        </w:rPr>
      </w:pPr>
      <w:r>
        <w:rPr>
          <w:rFonts w:hint="eastAsia" w:asciiTheme="minorEastAsia" w:hAnsiTheme="minorEastAsia"/>
          <w:color w:val="auto"/>
          <w:sz w:val="24"/>
          <w:szCs w:val="24"/>
          <w:highlight w:val="none"/>
          <w:lang w:val="en-US" w:eastAsia="zh-CN"/>
        </w:rPr>
        <w:t>报价系数=</w:t>
      </w:r>
      <w:r>
        <w:rPr>
          <w:rFonts w:hint="eastAsia" w:asciiTheme="minorEastAsia" w:hAnsiTheme="minorEastAsia"/>
          <w:color w:val="auto"/>
          <w:position w:val="-26"/>
          <w:sz w:val="24"/>
          <w:szCs w:val="24"/>
          <w:highlight w:val="none"/>
          <w:lang w:val="en-US" w:eastAsia="zh-CN"/>
        </w:rPr>
        <w:object>
          <v:shape id="_x0000_i1029" o:spt="75" type="#_x0000_t75" style="height:33pt;width:89pt;" o:ole="t" filled="f" o:preferrelative="t" stroked="f" coordsize="21600,21600">
            <v:path/>
            <v:fill on="f" focussize="0,0"/>
            <v:stroke on="f"/>
            <v:imagedata r:id="rId7" o:title=""/>
            <o:lock v:ext="edit" aspectratio="t"/>
            <w10:wrap type="none"/>
            <w10:anchorlock/>
          </v:shape>
          <o:OLEObject Type="Embed" ProgID="Equation.KSEE3" ShapeID="_x0000_i1029" DrawAspect="Content" ObjectID="_1468075729" r:id="rId12">
            <o:LockedField>false</o:LockedField>
          </o:OLEObject>
        </w:object>
      </w:r>
      <w:r>
        <w:rPr>
          <w:rFonts w:hint="eastAsia" w:asciiTheme="minorEastAsia" w:hAnsiTheme="minorEastAsia"/>
          <w:color w:val="auto"/>
          <w:sz w:val="24"/>
          <w:szCs w:val="24"/>
          <w:highlight w:val="none"/>
          <w:lang w:val="en-US" w:eastAsia="zh-CN"/>
        </w:rPr>
        <w:t>；考核系数=</w:t>
      </w:r>
      <w:r>
        <w:rPr>
          <w:rFonts w:hint="eastAsia" w:asciiTheme="minorEastAsia" w:hAnsiTheme="minorEastAsia"/>
          <w:color w:val="auto"/>
          <w:position w:val="-26"/>
          <w:sz w:val="24"/>
          <w:szCs w:val="24"/>
          <w:highlight w:val="none"/>
          <w:lang w:val="en-US" w:eastAsia="zh-CN"/>
        </w:rPr>
        <w:object>
          <v:shape id="_x0000_i1030" o:spt="75" type="#_x0000_t75" style="height:33pt;width:89pt;" o:ole="t" filled="f" o:preferrelative="t" stroked="f" coordsize="21600,21600">
            <v:path/>
            <v:fill on="f" focussize="0,0"/>
            <v:stroke on="f"/>
            <v:imagedata r:id="rId9" o:title=""/>
            <o:lock v:ext="edit" aspectratio="t"/>
            <w10:wrap type="none"/>
            <w10:anchorlock/>
          </v:shape>
          <o:OLEObject Type="Embed" ProgID="Equation.KSEE3" ShapeID="_x0000_i1030" DrawAspect="Content" ObjectID="_1468075730" r:id="rId13">
            <o:LockedField>false</o:LockedField>
          </o:OLEObject>
        </w:object>
      </w:r>
    </w:p>
    <w:p w14:paraId="2FE376EE">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（1）概算审核：</w:t>
      </w:r>
    </w:p>
    <w:p w14:paraId="5656C355">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关于2017年政府投资项目概算委托审核费用标准的通知</w:t>
      </w:r>
      <w:r>
        <w:rPr>
          <w:rFonts w:hint="default" w:asciiTheme="minorEastAsia" w:hAnsiTheme="minorEastAsia" w:eastAsiaTheme="minorEastAsia" w:cstheme="minorBidi"/>
          <w:color w:val="auto"/>
          <w:kern w:val="2"/>
          <w:sz w:val="24"/>
          <w:szCs w:val="24"/>
          <w:highlight w:val="none"/>
          <w:lang w:val="en-US" w:eastAsia="zh-CN" w:bidi="ar-SA"/>
        </w:rPr>
        <w:t>》（详见</w:t>
      </w:r>
      <w:r>
        <w:rPr>
          <w:rFonts w:hint="eastAsia" w:asciiTheme="minorEastAsia" w:hAnsiTheme="minorEastAsia" w:eastAsiaTheme="minorEastAsia" w:cstheme="minorBidi"/>
          <w:color w:val="auto"/>
          <w:kern w:val="2"/>
          <w:sz w:val="24"/>
          <w:szCs w:val="24"/>
          <w:highlight w:val="none"/>
          <w:lang w:val="en-US" w:eastAsia="zh-CN" w:bidi="ar-SA"/>
        </w:rPr>
        <w:t>宜财投审[2017]1号文</w:t>
      </w:r>
      <w:r>
        <w:rPr>
          <w:rFonts w:hint="default" w:asciiTheme="minorEastAsia" w:hAnsiTheme="minorEastAsia" w:eastAsiaTheme="minorEastAsia" w:cstheme="minorBidi"/>
          <w:color w:val="auto"/>
          <w:kern w:val="2"/>
          <w:sz w:val="24"/>
          <w:szCs w:val="24"/>
          <w:highlight w:val="none"/>
          <w:lang w:val="en-US" w:eastAsia="zh-CN" w:bidi="ar-SA"/>
        </w:rPr>
        <w:t>）的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p w14:paraId="05A7DBE6">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p>
    <w:tbl>
      <w:tblPr>
        <w:tblStyle w:val="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137"/>
        <w:gridCol w:w="1457"/>
        <w:gridCol w:w="1247"/>
        <w:gridCol w:w="1247"/>
        <w:gridCol w:w="1385"/>
        <w:gridCol w:w="1283"/>
        <w:gridCol w:w="1085"/>
      </w:tblGrid>
      <w:tr w14:paraId="3BF70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3" w:type="dxa"/>
            <w:vAlign w:val="center"/>
          </w:tcPr>
          <w:p w14:paraId="69074C8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137" w:type="dxa"/>
            <w:vAlign w:val="center"/>
          </w:tcPr>
          <w:p w14:paraId="1F2D7852">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457" w:type="dxa"/>
            <w:vAlign w:val="center"/>
          </w:tcPr>
          <w:p w14:paraId="41E62F3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100万元以内(含）</w:t>
            </w:r>
          </w:p>
        </w:tc>
        <w:tc>
          <w:tcPr>
            <w:tcW w:w="1247" w:type="dxa"/>
            <w:vAlign w:val="center"/>
          </w:tcPr>
          <w:p w14:paraId="258C2D4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-500万元（含）</w:t>
            </w:r>
          </w:p>
        </w:tc>
        <w:tc>
          <w:tcPr>
            <w:tcW w:w="1247" w:type="dxa"/>
            <w:vAlign w:val="center"/>
          </w:tcPr>
          <w:p w14:paraId="63F2B12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-1000万元（含）</w:t>
            </w:r>
          </w:p>
        </w:tc>
        <w:tc>
          <w:tcPr>
            <w:tcW w:w="1385" w:type="dxa"/>
            <w:vAlign w:val="center"/>
          </w:tcPr>
          <w:p w14:paraId="2925884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-5000万元（含）</w:t>
            </w:r>
          </w:p>
        </w:tc>
        <w:tc>
          <w:tcPr>
            <w:tcW w:w="1283" w:type="dxa"/>
            <w:vAlign w:val="center"/>
          </w:tcPr>
          <w:p w14:paraId="35C0119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-1亿元（含）</w:t>
            </w:r>
          </w:p>
        </w:tc>
        <w:tc>
          <w:tcPr>
            <w:tcW w:w="1085" w:type="dxa"/>
            <w:vAlign w:val="center"/>
          </w:tcPr>
          <w:p w14:paraId="6525FFA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1亿元以上</w:t>
            </w:r>
          </w:p>
        </w:tc>
      </w:tr>
      <w:tr w14:paraId="5EE6F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143" w:type="dxa"/>
            <w:vAlign w:val="center"/>
          </w:tcPr>
          <w:p w14:paraId="215DE30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p>
        </w:tc>
        <w:tc>
          <w:tcPr>
            <w:tcW w:w="1137" w:type="dxa"/>
            <w:vAlign w:val="center"/>
          </w:tcPr>
          <w:p w14:paraId="4B4A906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送审概算造价</w:t>
            </w:r>
          </w:p>
        </w:tc>
        <w:tc>
          <w:tcPr>
            <w:tcW w:w="1457" w:type="dxa"/>
            <w:vAlign w:val="center"/>
          </w:tcPr>
          <w:p w14:paraId="2BC9B8B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0.88‰</w:t>
            </w:r>
          </w:p>
        </w:tc>
        <w:tc>
          <w:tcPr>
            <w:tcW w:w="1247" w:type="dxa"/>
            <w:vAlign w:val="center"/>
          </w:tcPr>
          <w:p w14:paraId="2190DA9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0.72‰</w:t>
            </w:r>
          </w:p>
        </w:tc>
        <w:tc>
          <w:tcPr>
            <w:tcW w:w="1247" w:type="dxa"/>
            <w:vAlign w:val="center"/>
          </w:tcPr>
          <w:p w14:paraId="322074C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0.56‰</w:t>
            </w:r>
          </w:p>
        </w:tc>
        <w:tc>
          <w:tcPr>
            <w:tcW w:w="1385" w:type="dxa"/>
            <w:vAlign w:val="center"/>
          </w:tcPr>
          <w:p w14:paraId="7D143C2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283" w:type="dxa"/>
            <w:vAlign w:val="center"/>
          </w:tcPr>
          <w:p w14:paraId="16ECEF4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085" w:type="dxa"/>
            <w:vAlign w:val="center"/>
          </w:tcPr>
          <w:p w14:paraId="7318F9F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0.16‰</w:t>
            </w:r>
          </w:p>
        </w:tc>
      </w:tr>
    </w:tbl>
    <w:p w14:paraId="75EBEC49">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（2）招标控制价审核（工程类）：</w:t>
      </w:r>
    </w:p>
    <w:p w14:paraId="01C6B8C8">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招标控制价审核（工程类）</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6"/>
        <w:gridCol w:w="995"/>
        <w:gridCol w:w="1297"/>
        <w:gridCol w:w="1169"/>
        <w:gridCol w:w="1167"/>
        <w:gridCol w:w="1017"/>
        <w:gridCol w:w="1169"/>
        <w:gridCol w:w="1064"/>
      </w:tblGrid>
      <w:tr w14:paraId="147EE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106" w:type="dxa"/>
            <w:vAlign w:val="center"/>
          </w:tcPr>
          <w:p w14:paraId="4DD7281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995" w:type="dxa"/>
            <w:vAlign w:val="center"/>
          </w:tcPr>
          <w:p w14:paraId="13346E2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97" w:type="dxa"/>
            <w:vAlign w:val="center"/>
          </w:tcPr>
          <w:p w14:paraId="2B3D488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500万元以内(含）</w:t>
            </w:r>
          </w:p>
        </w:tc>
        <w:tc>
          <w:tcPr>
            <w:tcW w:w="1169" w:type="dxa"/>
            <w:vAlign w:val="center"/>
          </w:tcPr>
          <w:p w14:paraId="7D3A3A3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1000万元以内（含）</w:t>
            </w:r>
          </w:p>
        </w:tc>
        <w:tc>
          <w:tcPr>
            <w:tcW w:w="1167" w:type="dxa"/>
            <w:vAlign w:val="center"/>
          </w:tcPr>
          <w:p w14:paraId="2D3820F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5000万元以内（含）</w:t>
            </w:r>
          </w:p>
        </w:tc>
        <w:tc>
          <w:tcPr>
            <w:tcW w:w="1017" w:type="dxa"/>
            <w:vAlign w:val="center"/>
          </w:tcPr>
          <w:p w14:paraId="148EFDC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1亿元以内（含）</w:t>
            </w:r>
          </w:p>
        </w:tc>
        <w:tc>
          <w:tcPr>
            <w:tcW w:w="1169" w:type="dxa"/>
            <w:vAlign w:val="center"/>
          </w:tcPr>
          <w:p w14:paraId="504500F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5亿元以内（含）</w:t>
            </w:r>
          </w:p>
        </w:tc>
        <w:tc>
          <w:tcPr>
            <w:tcW w:w="1064" w:type="dxa"/>
            <w:vAlign w:val="center"/>
          </w:tcPr>
          <w:p w14:paraId="23EF758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5亿元以上</w:t>
            </w:r>
          </w:p>
        </w:tc>
      </w:tr>
      <w:tr w14:paraId="78724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6" w:type="dxa"/>
            <w:vAlign w:val="center"/>
          </w:tcPr>
          <w:p w14:paraId="4A8434F0">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工程预算、招标控制价、投标报价（不含审核工程清单）</w:t>
            </w:r>
            <w:r>
              <w:rPr>
                <w:rFonts w:hint="eastAsia" w:asciiTheme="minorEastAsia" w:hAnsiTheme="minorEastAsia" w:cstheme="minorBidi"/>
                <w:color w:val="auto"/>
                <w:kern w:val="2"/>
                <w:sz w:val="24"/>
                <w:szCs w:val="24"/>
                <w:highlight w:val="none"/>
                <w:lang w:val="en-US" w:eastAsia="zh-CN" w:bidi="ar-SA"/>
              </w:rPr>
              <w:t>审核</w:t>
            </w:r>
          </w:p>
        </w:tc>
        <w:tc>
          <w:tcPr>
            <w:tcW w:w="995" w:type="dxa"/>
            <w:vAlign w:val="center"/>
          </w:tcPr>
          <w:p w14:paraId="20C4FC6F">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送审建安工程造价</w:t>
            </w:r>
          </w:p>
        </w:tc>
        <w:tc>
          <w:tcPr>
            <w:tcW w:w="1297" w:type="dxa"/>
            <w:vAlign w:val="center"/>
          </w:tcPr>
          <w:p w14:paraId="6CFA6F3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w:t>
            </w:r>
          </w:p>
        </w:tc>
        <w:tc>
          <w:tcPr>
            <w:tcW w:w="1169" w:type="dxa"/>
            <w:vAlign w:val="center"/>
          </w:tcPr>
          <w:p w14:paraId="038B5A1E">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0.64‰</w:t>
            </w:r>
          </w:p>
        </w:tc>
        <w:tc>
          <w:tcPr>
            <w:tcW w:w="1167" w:type="dxa"/>
            <w:vAlign w:val="center"/>
          </w:tcPr>
          <w:p w14:paraId="1BE5D8DA">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017" w:type="dxa"/>
            <w:vAlign w:val="center"/>
          </w:tcPr>
          <w:p w14:paraId="70FF2793">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w:t>
            </w:r>
          </w:p>
        </w:tc>
        <w:tc>
          <w:tcPr>
            <w:tcW w:w="1169" w:type="dxa"/>
            <w:vAlign w:val="center"/>
          </w:tcPr>
          <w:p w14:paraId="3C2B7401">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064" w:type="dxa"/>
            <w:vAlign w:val="center"/>
          </w:tcPr>
          <w:p w14:paraId="26BFF876">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0.24‰</w:t>
            </w:r>
          </w:p>
        </w:tc>
      </w:tr>
    </w:tbl>
    <w:p w14:paraId="7453A13E">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（3）招标控制价审核（货物服务类）：</w:t>
      </w:r>
    </w:p>
    <w:p w14:paraId="146EC141">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招标控制价审核（货物服务类）</w:t>
      </w:r>
      <w:r>
        <w:rPr>
          <w:rFonts w:hint="default" w:asciiTheme="minorEastAsia" w:hAnsiTheme="minorEastAsia" w:eastAsiaTheme="minorEastAsia" w:cstheme="minorBidi"/>
          <w:color w:val="auto"/>
          <w:kern w:val="2"/>
          <w:sz w:val="24"/>
          <w:szCs w:val="24"/>
          <w:highlight w:val="none"/>
          <w:lang w:val="en-US" w:eastAsia="zh-CN" w:bidi="ar-SA"/>
        </w:rPr>
        <w:t>费用原则上</w:t>
      </w:r>
      <w:r>
        <w:rPr>
          <w:rFonts w:hint="eastAsia" w:asciiTheme="minorEastAsia" w:hAnsiTheme="minorEastAsia" w:eastAsiaTheme="minorEastAsia" w:cstheme="minorBidi"/>
          <w:color w:val="auto"/>
          <w:kern w:val="2"/>
          <w:sz w:val="24"/>
          <w:szCs w:val="24"/>
          <w:highlight w:val="none"/>
          <w:lang w:val="en-US" w:eastAsia="zh-CN" w:bidi="ar-SA"/>
        </w:rPr>
        <w:t>参照</w:t>
      </w:r>
      <w:r>
        <w:rPr>
          <w:rFonts w:hint="default" w:asciiTheme="minorEastAsia" w:hAnsiTheme="minorEastAsia" w:eastAsiaTheme="minorEastAsia" w:cstheme="minorBidi"/>
          <w:color w:val="auto"/>
          <w:kern w:val="2"/>
          <w:sz w:val="24"/>
          <w:szCs w:val="24"/>
          <w:highlight w:val="none"/>
          <w:lang w:val="en-US" w:eastAsia="zh-CN" w:bidi="ar-SA"/>
        </w:rPr>
        <w:t>《</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5</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2"/>
        <w:tblpPr w:leftFromText="180" w:rightFromText="180" w:vertAnchor="text" w:horzAnchor="page" w:tblpX="954" w:tblpY="167"/>
        <w:tblOverlap w:val="never"/>
        <w:tblW w:w="101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6"/>
        <w:gridCol w:w="1416"/>
        <w:gridCol w:w="1210"/>
        <w:gridCol w:w="1194"/>
        <w:gridCol w:w="1209"/>
        <w:gridCol w:w="1081"/>
        <w:gridCol w:w="1226"/>
        <w:gridCol w:w="1032"/>
      </w:tblGrid>
      <w:tr w14:paraId="20D146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606415E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416" w:type="dxa"/>
            <w:tcBorders>
              <w:top w:val="single" w:color="000000" w:sz="4" w:space="0"/>
              <w:left w:val="single" w:color="000000" w:sz="4" w:space="0"/>
              <w:bottom w:val="single" w:color="000000" w:sz="4" w:space="0"/>
              <w:right w:val="single" w:color="000000" w:sz="4" w:space="0"/>
            </w:tcBorders>
            <w:vAlign w:val="center"/>
          </w:tcPr>
          <w:p w14:paraId="5705A95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10" w:type="dxa"/>
            <w:tcBorders>
              <w:top w:val="single" w:color="000000" w:sz="4" w:space="0"/>
              <w:left w:val="single" w:color="000000" w:sz="4" w:space="0"/>
              <w:bottom w:val="single" w:color="000000" w:sz="4" w:space="0"/>
              <w:right w:val="single" w:color="000000" w:sz="4" w:space="0"/>
            </w:tcBorders>
          </w:tcPr>
          <w:p w14:paraId="7E7F37C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w:t>
            </w:r>
          </w:p>
        </w:tc>
        <w:tc>
          <w:tcPr>
            <w:tcW w:w="1194" w:type="dxa"/>
            <w:tcBorders>
              <w:top w:val="single" w:color="000000" w:sz="4" w:space="0"/>
              <w:left w:val="single" w:color="000000" w:sz="4" w:space="0"/>
              <w:bottom w:val="single" w:color="000000" w:sz="4" w:space="0"/>
              <w:right w:val="single" w:color="000000" w:sz="4" w:space="0"/>
            </w:tcBorders>
          </w:tcPr>
          <w:p w14:paraId="6172156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≤300</w:t>
            </w:r>
          </w:p>
          <w:p w14:paraId="3623379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209" w:type="dxa"/>
            <w:tcBorders>
              <w:top w:val="single" w:color="000000" w:sz="4" w:space="0"/>
              <w:left w:val="single" w:color="000000" w:sz="4" w:space="0"/>
              <w:bottom w:val="single" w:color="000000" w:sz="4" w:space="0"/>
              <w:right w:val="single" w:color="000000" w:sz="4" w:space="0"/>
            </w:tcBorders>
          </w:tcPr>
          <w:p w14:paraId="677F7661">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p>
          <w:p w14:paraId="2D548A1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081" w:type="dxa"/>
            <w:tcBorders>
              <w:top w:val="single" w:color="000000" w:sz="4" w:space="0"/>
              <w:left w:val="single" w:color="000000" w:sz="4" w:space="0"/>
              <w:bottom w:val="single" w:color="000000" w:sz="4" w:space="0"/>
              <w:right w:val="single" w:color="000000" w:sz="4" w:space="0"/>
            </w:tcBorders>
          </w:tcPr>
          <w:p w14:paraId="78DD8E2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w:t>
            </w:r>
          </w:p>
        </w:tc>
        <w:tc>
          <w:tcPr>
            <w:tcW w:w="1226" w:type="dxa"/>
            <w:tcBorders>
              <w:top w:val="single" w:color="000000" w:sz="4" w:space="0"/>
              <w:left w:val="single" w:color="000000" w:sz="4" w:space="0"/>
              <w:bottom w:val="single" w:color="000000" w:sz="4" w:space="0"/>
              <w:right w:val="single" w:color="000000" w:sz="4" w:space="0"/>
            </w:tcBorders>
          </w:tcPr>
          <w:p w14:paraId="1E9FC3F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w:t>
            </w:r>
          </w:p>
        </w:tc>
        <w:tc>
          <w:tcPr>
            <w:tcW w:w="1032" w:type="dxa"/>
            <w:tcBorders>
              <w:top w:val="single" w:color="000000" w:sz="4" w:space="0"/>
              <w:left w:val="single" w:color="000000" w:sz="4" w:space="0"/>
              <w:bottom w:val="single" w:color="000000" w:sz="4" w:space="0"/>
              <w:right w:val="single" w:color="000000" w:sz="4" w:space="0"/>
            </w:tcBorders>
          </w:tcPr>
          <w:p w14:paraId="67A44CA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&gt;5000万元</w:t>
            </w:r>
          </w:p>
        </w:tc>
      </w:tr>
      <w:tr w14:paraId="5BD6F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5F583A4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招标控制价审核</w:t>
            </w:r>
          </w:p>
        </w:tc>
        <w:tc>
          <w:tcPr>
            <w:tcW w:w="1416" w:type="dxa"/>
            <w:tcBorders>
              <w:top w:val="single" w:color="000000" w:sz="4" w:space="0"/>
              <w:left w:val="single" w:color="000000" w:sz="4" w:space="0"/>
              <w:bottom w:val="single" w:color="000000" w:sz="4" w:space="0"/>
              <w:right w:val="single" w:color="000000" w:sz="4" w:space="0"/>
            </w:tcBorders>
            <w:vAlign w:val="center"/>
          </w:tcPr>
          <w:p w14:paraId="2F6749D2">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送审标底价</w:t>
            </w:r>
          </w:p>
        </w:tc>
        <w:tc>
          <w:tcPr>
            <w:tcW w:w="1210" w:type="dxa"/>
            <w:tcBorders>
              <w:top w:val="single" w:color="000000" w:sz="4" w:space="0"/>
              <w:left w:val="single" w:color="000000" w:sz="4" w:space="0"/>
              <w:bottom w:val="single" w:color="000000" w:sz="4" w:space="0"/>
              <w:right w:val="single" w:color="000000" w:sz="4" w:space="0"/>
            </w:tcBorders>
            <w:vAlign w:val="center"/>
          </w:tcPr>
          <w:p w14:paraId="51E7A4B4">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1.35‰</w:t>
            </w:r>
          </w:p>
        </w:tc>
        <w:tc>
          <w:tcPr>
            <w:tcW w:w="1194" w:type="dxa"/>
            <w:tcBorders>
              <w:top w:val="single" w:color="000000" w:sz="4" w:space="0"/>
              <w:left w:val="single" w:color="000000" w:sz="4" w:space="0"/>
              <w:bottom w:val="single" w:color="000000" w:sz="4" w:space="0"/>
              <w:right w:val="single" w:color="000000" w:sz="4" w:space="0"/>
            </w:tcBorders>
            <w:vAlign w:val="center"/>
          </w:tcPr>
          <w:p w14:paraId="6728B100">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1.2‰</w:t>
            </w:r>
          </w:p>
        </w:tc>
        <w:tc>
          <w:tcPr>
            <w:tcW w:w="1209" w:type="dxa"/>
            <w:tcBorders>
              <w:top w:val="single" w:color="000000" w:sz="4" w:space="0"/>
              <w:left w:val="single" w:color="000000" w:sz="4" w:space="0"/>
              <w:bottom w:val="single" w:color="000000" w:sz="4" w:space="0"/>
              <w:right w:val="single" w:color="000000" w:sz="4" w:space="0"/>
            </w:tcBorders>
            <w:vAlign w:val="center"/>
          </w:tcPr>
          <w:p w14:paraId="10B9BFF4">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1.05‰</w:t>
            </w:r>
          </w:p>
        </w:tc>
        <w:tc>
          <w:tcPr>
            <w:tcW w:w="1081" w:type="dxa"/>
            <w:tcBorders>
              <w:top w:val="single" w:color="000000" w:sz="4" w:space="0"/>
              <w:left w:val="single" w:color="000000" w:sz="4" w:space="0"/>
              <w:bottom w:val="single" w:color="000000" w:sz="4" w:space="0"/>
              <w:right w:val="single" w:color="000000" w:sz="4" w:space="0"/>
            </w:tcBorders>
            <w:vAlign w:val="center"/>
          </w:tcPr>
          <w:p w14:paraId="31E20399">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0.85‰</w:t>
            </w:r>
          </w:p>
        </w:tc>
        <w:tc>
          <w:tcPr>
            <w:tcW w:w="1226" w:type="dxa"/>
            <w:tcBorders>
              <w:top w:val="single" w:color="000000" w:sz="4" w:space="0"/>
              <w:left w:val="single" w:color="000000" w:sz="4" w:space="0"/>
              <w:bottom w:val="single" w:color="000000" w:sz="4" w:space="0"/>
              <w:right w:val="single" w:color="000000" w:sz="4" w:space="0"/>
            </w:tcBorders>
            <w:vAlign w:val="center"/>
          </w:tcPr>
          <w:p w14:paraId="57822E3B">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w:t>
            </w:r>
          </w:p>
        </w:tc>
        <w:tc>
          <w:tcPr>
            <w:tcW w:w="1032" w:type="dxa"/>
            <w:tcBorders>
              <w:top w:val="single" w:color="000000" w:sz="4" w:space="0"/>
              <w:left w:val="single" w:color="000000" w:sz="4" w:space="0"/>
              <w:bottom w:val="single" w:color="000000" w:sz="4" w:space="0"/>
              <w:right w:val="single" w:color="000000" w:sz="4" w:space="0"/>
            </w:tcBorders>
            <w:vAlign w:val="center"/>
          </w:tcPr>
          <w:p w14:paraId="2231A247">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0.55‰</w:t>
            </w:r>
          </w:p>
        </w:tc>
      </w:tr>
    </w:tbl>
    <w:p w14:paraId="4219FED4">
      <w:pPr>
        <w:pStyle w:val="28"/>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以工作日为单位计算报酬的计日工：</w:t>
      </w:r>
    </w:p>
    <w:p w14:paraId="356887CA">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default" w:asciiTheme="minorEastAsia" w:hAnsiTheme="minorEastAsia" w:eastAsiaTheme="minorEastAsia" w:cstheme="minorBidi"/>
          <w:color w:val="auto"/>
          <w:kern w:val="2"/>
          <w:sz w:val="24"/>
          <w:szCs w:val="24"/>
          <w:highlight w:val="none"/>
          <w:lang w:val="en-US" w:eastAsia="zh-CN" w:bidi="ar-SA"/>
        </w:rPr>
        <w:t>参照</w:t>
      </w:r>
      <w:r>
        <w:rPr>
          <w:rFonts w:hint="eastAsia" w:asciiTheme="minorEastAsia" w:hAnsiTheme="minorEastAsia" w:eastAsiaTheme="minorEastAsia" w:cstheme="minorBidi"/>
          <w:color w:val="auto"/>
          <w:kern w:val="2"/>
          <w:sz w:val="24"/>
          <w:szCs w:val="24"/>
          <w:highlight w:val="none"/>
          <w:lang w:val="en-US" w:eastAsia="zh-CN" w:bidi="ar-SA"/>
        </w:rPr>
        <w:t>《关于</w:t>
      </w:r>
      <w:r>
        <w:rPr>
          <w:rFonts w:hint="default" w:asciiTheme="minorEastAsia" w:hAnsiTheme="minorEastAsia" w:eastAsiaTheme="minorEastAsia" w:cstheme="minorBidi"/>
          <w:color w:val="auto"/>
          <w:kern w:val="2"/>
          <w:sz w:val="24"/>
          <w:szCs w:val="24"/>
          <w:highlight w:val="none"/>
          <w:lang w:val="en-US" w:eastAsia="zh-CN" w:bidi="ar-SA"/>
        </w:rPr>
        <w:t>2022-2023</w:t>
      </w:r>
      <w:r>
        <w:rPr>
          <w:rFonts w:hint="eastAsia" w:asciiTheme="minorEastAsia" w:hAnsiTheme="minorEastAsia" w:eastAsiaTheme="minorEastAsia" w:cstheme="minorBidi"/>
          <w:color w:val="auto"/>
          <w:kern w:val="2"/>
          <w:sz w:val="24"/>
          <w:szCs w:val="24"/>
          <w:highlight w:val="none"/>
          <w:lang w:val="en-US" w:eastAsia="zh-CN" w:bidi="ar-SA"/>
        </w:rPr>
        <w:t>年度市行政事业单位审计服务—工程造价审计定点采购的通知》（锡详见财购〔2022〕8号）规定的计日工标准的</w:t>
      </w:r>
      <w:r>
        <w:rPr>
          <w:rFonts w:hint="eastAsia" w:asciiTheme="minorEastAsia" w:hAnsiTheme="minorEastAsia" w:eastAsiaTheme="minorEastAsia" w:cstheme="minorBidi"/>
          <w:color w:val="auto"/>
          <w:kern w:val="2"/>
          <w:sz w:val="24"/>
          <w:szCs w:val="24"/>
          <w:highlight w:val="none"/>
          <w:u w:val="single"/>
          <w:lang w:val="en-US" w:eastAsia="zh-CN" w:bidi="ar-SA"/>
        </w:rPr>
        <w:t xml:space="preserve"> 70% </w:t>
      </w:r>
      <w:r>
        <w:rPr>
          <w:rFonts w:hint="eastAsia" w:asciiTheme="minorEastAsia" w:hAnsiTheme="minorEastAsia" w:eastAsiaTheme="minorEastAsia" w:cstheme="minorBidi"/>
          <w:color w:val="auto"/>
          <w:kern w:val="2"/>
          <w:sz w:val="24"/>
          <w:szCs w:val="24"/>
          <w:highlight w:val="none"/>
          <w:lang w:val="en-US" w:eastAsia="zh-CN" w:bidi="ar-SA"/>
        </w:rPr>
        <w:t>计取，具体费用如下：注册造价工程师1200元/人·天（含税）；一般工程协审人员600元/人·天（含税）。</w:t>
      </w:r>
    </w:p>
    <w:p w14:paraId="5AF60663">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2、</w:t>
      </w:r>
      <w:r>
        <w:rPr>
          <w:rFonts w:hint="eastAsia" w:ascii="宋体" w:hAnsi="宋体"/>
          <w:bCs/>
          <w:color w:val="auto"/>
          <w:sz w:val="24"/>
          <w:highlight w:val="none"/>
          <w:lang w:val="en-US" w:eastAsia="zh-CN"/>
        </w:rPr>
        <w:t>财政部门</w:t>
      </w:r>
      <w:r>
        <w:rPr>
          <w:rFonts w:hint="eastAsia" w:ascii="宋体" w:hAnsi="宋体"/>
          <w:bCs/>
          <w:color w:val="auto"/>
          <w:sz w:val="24"/>
          <w:highlight w:val="none"/>
        </w:rPr>
        <w:t>如聘请专业技术人员进行辅助性复核工作，</w:t>
      </w:r>
      <w:r>
        <w:rPr>
          <w:rFonts w:hint="eastAsia" w:ascii="宋体" w:hAnsi="宋体"/>
          <w:bCs/>
          <w:color w:val="auto"/>
          <w:sz w:val="24"/>
          <w:highlight w:val="none"/>
          <w:lang w:val="en-US" w:eastAsia="zh-CN"/>
        </w:rPr>
        <w:t>服务费用按征集文件规定计取</w:t>
      </w:r>
      <w:r>
        <w:rPr>
          <w:rFonts w:hint="eastAsia" w:ascii="宋体" w:hAnsi="宋体"/>
          <w:bCs/>
          <w:color w:val="auto"/>
          <w:sz w:val="24"/>
          <w:highlight w:val="none"/>
        </w:rPr>
        <w:t>。</w:t>
      </w:r>
    </w:p>
    <w:p w14:paraId="225EE6EF">
      <w:pPr>
        <w:spacing w:line="360" w:lineRule="auto"/>
        <w:rPr>
          <w:rFonts w:ascii="黑体" w:hAnsi="黑体" w:eastAsia="黑体" w:cs="黑体"/>
          <w:b/>
          <w:bCs/>
          <w:color w:val="auto"/>
          <w:sz w:val="24"/>
          <w:highlight w:val="none"/>
        </w:rPr>
      </w:pPr>
      <w:bookmarkStart w:id="16" w:name="_Toc414975305"/>
      <w:bookmarkStart w:id="17" w:name="_Toc414887744"/>
      <w:bookmarkStart w:id="18" w:name="_Toc416420529"/>
      <w:r>
        <w:rPr>
          <w:rFonts w:hint="eastAsia" w:ascii="黑体" w:hAnsi="黑体" w:eastAsia="黑体" w:cs="黑体"/>
          <w:color w:val="auto"/>
          <w:sz w:val="24"/>
          <w:highlight w:val="none"/>
        </w:rPr>
        <w:t>八、</w:t>
      </w:r>
      <w:r>
        <w:rPr>
          <w:rFonts w:hint="eastAsia" w:ascii="黑体" w:hAnsi="黑体" w:eastAsia="黑体" w:cs="黑体"/>
          <w:b/>
          <w:bCs/>
          <w:color w:val="auto"/>
          <w:sz w:val="24"/>
          <w:highlight w:val="none"/>
        </w:rPr>
        <w:t>履约管理要求</w:t>
      </w:r>
    </w:p>
    <w:p w14:paraId="6AF9F06A">
      <w:pPr>
        <w:spacing w:line="360" w:lineRule="auto"/>
        <w:ind w:firstLine="480" w:firstLineChars="200"/>
        <w:rPr>
          <w:rFonts w:hint="default" w:ascii="宋体" w:hAnsi="宋体"/>
          <w:color w:val="auto"/>
          <w:sz w:val="24"/>
          <w:highlight w:val="none"/>
          <w:lang w:val="en-US"/>
        </w:rPr>
      </w:pPr>
      <w:r>
        <w:rPr>
          <w:rFonts w:hint="default" w:ascii="宋体" w:hAnsi="宋体"/>
          <w:color w:val="auto"/>
          <w:sz w:val="24"/>
          <w:highlight w:val="none"/>
          <w:lang w:val="en-US"/>
        </w:rPr>
        <w:t>1.管理形式：为了确保项目协审工作质量，</w:t>
      </w:r>
      <w:r>
        <w:rPr>
          <w:rFonts w:hint="eastAsia" w:ascii="宋体" w:hAnsi="宋体"/>
          <w:color w:val="auto"/>
          <w:sz w:val="24"/>
          <w:highlight w:val="none"/>
          <w:lang w:val="en-US" w:eastAsia="zh-CN"/>
        </w:rPr>
        <w:t>甲方</w:t>
      </w:r>
      <w:r>
        <w:rPr>
          <w:rFonts w:hint="default" w:ascii="宋体" w:hAnsi="宋体"/>
          <w:color w:val="auto"/>
          <w:sz w:val="24"/>
          <w:highlight w:val="none"/>
          <w:lang w:val="en-US"/>
        </w:rPr>
        <w:t>及</w:t>
      </w:r>
      <w:r>
        <w:rPr>
          <w:rFonts w:hint="default" w:ascii="宋体" w:hAnsi="宋体"/>
          <w:color w:val="auto"/>
          <w:sz w:val="24"/>
          <w:highlight w:val="none"/>
          <w:lang w:val="en-US" w:eastAsia="zh-CN"/>
        </w:rPr>
        <w:t>相</w:t>
      </w:r>
      <w:r>
        <w:rPr>
          <w:rFonts w:hint="default" w:ascii="宋体" w:hAnsi="宋体"/>
          <w:color w:val="auto"/>
          <w:sz w:val="24"/>
          <w:highlight w:val="none"/>
          <w:lang w:val="en-US"/>
        </w:rPr>
        <w:t>关部门将对</w:t>
      </w:r>
      <w:r>
        <w:rPr>
          <w:rFonts w:hint="eastAsia" w:ascii="宋体" w:hAnsi="宋体"/>
          <w:bCs/>
          <w:color w:val="auto"/>
          <w:sz w:val="24"/>
          <w:highlight w:val="none"/>
        </w:rPr>
        <w:t>乙方</w:t>
      </w:r>
      <w:r>
        <w:rPr>
          <w:rFonts w:hint="default" w:ascii="宋体" w:hAnsi="宋体"/>
          <w:color w:val="auto"/>
          <w:sz w:val="24"/>
          <w:highlight w:val="none"/>
          <w:lang w:val="en-US"/>
        </w:rPr>
        <w:t>在服务周期内进行协审工作考核，考核办法</w:t>
      </w:r>
      <w:r>
        <w:rPr>
          <w:rFonts w:hint="eastAsia" w:ascii="宋体" w:hAnsi="宋体"/>
          <w:color w:val="auto"/>
          <w:sz w:val="24"/>
          <w:highlight w:val="none"/>
          <w:lang w:val="en-US" w:eastAsia="zh-CN"/>
        </w:rPr>
        <w:t>按征集</w:t>
      </w:r>
      <w:r>
        <w:rPr>
          <w:rFonts w:hint="default" w:ascii="宋体" w:hAnsi="宋体"/>
          <w:color w:val="auto"/>
          <w:sz w:val="24"/>
          <w:highlight w:val="none"/>
          <w:lang w:val="en-US"/>
        </w:rPr>
        <w:t>文件要求</w:t>
      </w:r>
      <w:r>
        <w:rPr>
          <w:rFonts w:hint="default" w:ascii="宋体" w:hAnsi="宋体"/>
          <w:color w:val="auto"/>
          <w:sz w:val="24"/>
          <w:highlight w:val="none"/>
          <w:lang w:val="en-US" w:eastAsia="zh-CN"/>
        </w:rPr>
        <w:t>执行</w:t>
      </w:r>
      <w:r>
        <w:rPr>
          <w:rFonts w:hint="default" w:ascii="宋体" w:hAnsi="宋体"/>
          <w:color w:val="auto"/>
          <w:sz w:val="24"/>
          <w:highlight w:val="none"/>
          <w:lang w:val="en-US"/>
        </w:rPr>
        <w:t>。</w:t>
      </w:r>
    </w:p>
    <w:p w14:paraId="1E234C2F">
      <w:pPr>
        <w:spacing w:line="360" w:lineRule="auto"/>
        <w:ind w:firstLine="480" w:firstLineChars="200"/>
        <w:rPr>
          <w:rFonts w:hint="eastAsia" w:ascii="宋体" w:hAnsi="宋体" w:eastAsia="宋体"/>
          <w:color w:val="auto"/>
          <w:sz w:val="24"/>
          <w:highlight w:val="none"/>
          <w:lang w:val="en-US" w:eastAsia="zh-CN"/>
        </w:rPr>
      </w:pPr>
      <w:r>
        <w:rPr>
          <w:rFonts w:hint="default" w:ascii="宋体" w:hAnsi="宋体"/>
          <w:color w:val="auto"/>
          <w:sz w:val="24"/>
          <w:highlight w:val="none"/>
          <w:lang w:val="en-US"/>
        </w:rPr>
        <w:t>2.管理</w:t>
      </w:r>
      <w:r>
        <w:rPr>
          <w:rFonts w:hint="eastAsia" w:ascii="宋体" w:hAnsi="宋体"/>
          <w:color w:val="auto"/>
          <w:sz w:val="24"/>
          <w:highlight w:val="none"/>
          <w:lang w:val="en-US" w:eastAsia="zh-CN"/>
        </w:rPr>
        <w:t>措施：</w:t>
      </w:r>
    </w:p>
    <w:p w14:paraId="7783D09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一、暂停交易资格</w:t>
      </w:r>
    </w:p>
    <w:p w14:paraId="679A0376">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在项目履约过程中出现（1）-（7）情形的，由</w:t>
      </w:r>
      <w:r>
        <w:rPr>
          <w:rFonts w:hint="eastAsia" w:ascii="宋体" w:hAnsi="宋体"/>
          <w:color w:val="auto"/>
          <w:sz w:val="24"/>
          <w:highlight w:val="none"/>
          <w:lang w:eastAsia="zh-CN"/>
        </w:rPr>
        <w:t>甲方</w:t>
      </w:r>
      <w:r>
        <w:rPr>
          <w:rFonts w:hint="eastAsia" w:ascii="宋体" w:hAnsi="宋体"/>
          <w:color w:val="auto"/>
          <w:sz w:val="24"/>
          <w:highlight w:val="none"/>
        </w:rPr>
        <w:t>对</w:t>
      </w:r>
      <w:r>
        <w:rPr>
          <w:rFonts w:hint="eastAsia" w:ascii="宋体" w:hAnsi="宋体"/>
          <w:bCs/>
          <w:color w:val="auto"/>
          <w:sz w:val="24"/>
          <w:highlight w:val="none"/>
        </w:rPr>
        <w:t>乙方</w:t>
      </w:r>
      <w:r>
        <w:rPr>
          <w:rFonts w:hint="eastAsia" w:ascii="宋体" w:hAnsi="宋体"/>
          <w:color w:val="auto"/>
          <w:sz w:val="24"/>
          <w:highlight w:val="none"/>
        </w:rPr>
        <w:t>进行约谈并给予警告，责令限期整改。</w:t>
      </w:r>
      <w:r>
        <w:rPr>
          <w:rFonts w:hint="eastAsia" w:ascii="宋体" w:hAnsi="宋体"/>
          <w:bCs/>
          <w:color w:val="auto"/>
          <w:sz w:val="24"/>
          <w:highlight w:val="none"/>
        </w:rPr>
        <w:t>乙方</w:t>
      </w:r>
      <w:r>
        <w:rPr>
          <w:rFonts w:hint="eastAsia" w:ascii="宋体" w:hAnsi="宋体"/>
          <w:color w:val="auto"/>
          <w:sz w:val="24"/>
          <w:highlight w:val="none"/>
        </w:rPr>
        <w:t>受到</w:t>
      </w:r>
      <w:r>
        <w:rPr>
          <w:rFonts w:hint="eastAsia" w:ascii="宋体" w:hAnsi="宋体"/>
          <w:color w:val="auto"/>
          <w:sz w:val="24"/>
          <w:highlight w:val="none"/>
          <w:lang w:eastAsia="zh-CN"/>
        </w:rPr>
        <w:t>甲方</w:t>
      </w:r>
      <w:r>
        <w:rPr>
          <w:rFonts w:hint="eastAsia" w:ascii="宋体" w:hAnsi="宋体"/>
          <w:color w:val="auto"/>
          <w:sz w:val="24"/>
          <w:highlight w:val="none"/>
        </w:rPr>
        <w:t>第1次警告时，暂停其框架协议交易资格六个月；受到</w:t>
      </w:r>
      <w:r>
        <w:rPr>
          <w:rFonts w:hint="eastAsia" w:ascii="宋体" w:hAnsi="宋体"/>
          <w:color w:val="auto"/>
          <w:sz w:val="24"/>
          <w:highlight w:val="none"/>
          <w:lang w:eastAsia="zh-CN"/>
        </w:rPr>
        <w:t>甲方</w:t>
      </w:r>
      <w:r>
        <w:rPr>
          <w:rFonts w:hint="eastAsia" w:ascii="宋体" w:hAnsi="宋体"/>
          <w:color w:val="auto"/>
          <w:sz w:val="24"/>
          <w:highlight w:val="none"/>
        </w:rPr>
        <w:t>第2次警告时，暂停其框架协议有效期内交易资格。</w:t>
      </w:r>
    </w:p>
    <w:p w14:paraId="5ABA02C4">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在项目履约过程中出现（8）-（11）情形的，由</w:t>
      </w:r>
      <w:r>
        <w:rPr>
          <w:rFonts w:hint="eastAsia" w:ascii="宋体" w:hAnsi="宋体"/>
          <w:color w:val="auto"/>
          <w:sz w:val="24"/>
          <w:highlight w:val="none"/>
          <w:lang w:eastAsia="zh-CN"/>
        </w:rPr>
        <w:t>甲方</w:t>
      </w:r>
      <w:r>
        <w:rPr>
          <w:rFonts w:hint="eastAsia" w:ascii="宋体" w:hAnsi="宋体"/>
          <w:color w:val="auto"/>
          <w:sz w:val="24"/>
          <w:highlight w:val="none"/>
        </w:rPr>
        <w:t>对</w:t>
      </w:r>
      <w:r>
        <w:rPr>
          <w:rFonts w:hint="eastAsia" w:ascii="宋体" w:hAnsi="宋体"/>
          <w:bCs/>
          <w:color w:val="auto"/>
          <w:sz w:val="24"/>
          <w:highlight w:val="none"/>
        </w:rPr>
        <w:t>乙方</w:t>
      </w:r>
      <w:r>
        <w:rPr>
          <w:rFonts w:hint="eastAsia" w:ascii="宋体" w:hAnsi="宋体"/>
          <w:color w:val="auto"/>
          <w:sz w:val="24"/>
          <w:highlight w:val="none"/>
        </w:rPr>
        <w:t>进行约谈，责令限期整改并暂停其框架协议有效期内交易资格。</w:t>
      </w:r>
    </w:p>
    <w:p w14:paraId="71DE060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对于上述情形，不接受约谈或被约谈后拒不整改以及整改不到位的</w:t>
      </w:r>
      <w:r>
        <w:rPr>
          <w:rFonts w:hint="eastAsia" w:ascii="宋体" w:hAnsi="宋体"/>
          <w:color w:val="auto"/>
          <w:sz w:val="24"/>
          <w:highlight w:val="none"/>
          <w:lang w:eastAsia="zh-CN"/>
        </w:rPr>
        <w:t>乙方</w:t>
      </w:r>
      <w:r>
        <w:rPr>
          <w:rFonts w:hint="eastAsia" w:ascii="宋体" w:hAnsi="宋体"/>
          <w:color w:val="auto"/>
          <w:sz w:val="24"/>
          <w:highlight w:val="none"/>
        </w:rPr>
        <w:t>，</w:t>
      </w:r>
      <w:r>
        <w:rPr>
          <w:rFonts w:hint="eastAsia" w:ascii="宋体" w:hAnsi="宋体"/>
          <w:color w:val="auto"/>
          <w:sz w:val="24"/>
          <w:highlight w:val="none"/>
          <w:lang w:eastAsia="zh-CN"/>
        </w:rPr>
        <w:t>甲方</w:t>
      </w:r>
      <w:r>
        <w:rPr>
          <w:rFonts w:hint="eastAsia" w:ascii="宋体" w:hAnsi="宋体"/>
          <w:color w:val="auto"/>
          <w:sz w:val="24"/>
          <w:highlight w:val="none"/>
        </w:rPr>
        <w:t>有权取消</w:t>
      </w:r>
      <w:r>
        <w:rPr>
          <w:rFonts w:hint="eastAsia" w:ascii="宋体" w:hAnsi="宋体"/>
          <w:color w:val="auto"/>
          <w:sz w:val="24"/>
          <w:highlight w:val="none"/>
          <w:lang w:eastAsia="zh-CN"/>
        </w:rPr>
        <w:t>乙方</w:t>
      </w:r>
      <w:r>
        <w:rPr>
          <w:rFonts w:hint="eastAsia" w:ascii="宋体" w:hAnsi="宋体"/>
          <w:color w:val="auto"/>
          <w:sz w:val="24"/>
          <w:highlight w:val="none"/>
        </w:rPr>
        <w:t>该项目的服务资格，重新进行委派。</w:t>
      </w:r>
    </w:p>
    <w:p w14:paraId="4218352B">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（1）未按照征集文件与采购合同要求配备协审人员的；</w:t>
      </w:r>
    </w:p>
    <w:p w14:paraId="6AE3C30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（2）未经</w:t>
      </w:r>
      <w:r>
        <w:rPr>
          <w:rFonts w:hint="eastAsia" w:ascii="宋体" w:hAnsi="宋体"/>
          <w:color w:val="auto"/>
          <w:sz w:val="24"/>
          <w:highlight w:val="none"/>
          <w:lang w:eastAsia="zh-CN"/>
        </w:rPr>
        <w:t>甲方</w:t>
      </w:r>
      <w:r>
        <w:rPr>
          <w:rFonts w:hint="eastAsia" w:ascii="宋体" w:hAnsi="宋体"/>
          <w:color w:val="auto"/>
          <w:sz w:val="24"/>
          <w:highlight w:val="none"/>
        </w:rPr>
        <w:t>同意，擅自更换协审人员的；</w:t>
      </w:r>
    </w:p>
    <w:p w14:paraId="15A2712B">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（3）服务期间，协审人员不按规定常驻宜兴的；</w:t>
      </w:r>
    </w:p>
    <w:p w14:paraId="0A9C8A8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（4）抽查过程中发现</w:t>
      </w:r>
      <w:r>
        <w:rPr>
          <w:rFonts w:hint="eastAsia" w:ascii="宋体" w:hAnsi="宋体"/>
          <w:color w:val="auto"/>
          <w:sz w:val="24"/>
          <w:highlight w:val="none"/>
          <w:lang w:eastAsia="zh-CN"/>
        </w:rPr>
        <w:t>在宜办公人员</w:t>
      </w:r>
      <w:r>
        <w:rPr>
          <w:rFonts w:hint="eastAsia" w:ascii="宋体" w:hAnsi="宋体"/>
          <w:color w:val="auto"/>
          <w:sz w:val="24"/>
          <w:highlight w:val="none"/>
        </w:rPr>
        <w:t>不符合要求的；</w:t>
      </w:r>
    </w:p>
    <w:p w14:paraId="54C550B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（5）项目审核误差率超过行业相关规定或</w:t>
      </w:r>
      <w:r>
        <w:rPr>
          <w:rFonts w:hint="eastAsia" w:ascii="宋体" w:hAnsi="宋体"/>
          <w:color w:val="auto"/>
          <w:sz w:val="24"/>
          <w:highlight w:val="none"/>
          <w:lang w:eastAsia="zh-CN"/>
        </w:rPr>
        <w:t>甲方</w:t>
      </w:r>
      <w:r>
        <w:rPr>
          <w:rFonts w:hint="eastAsia" w:ascii="宋体" w:hAnsi="宋体"/>
          <w:color w:val="auto"/>
          <w:sz w:val="24"/>
          <w:highlight w:val="none"/>
        </w:rPr>
        <w:t>要求的；</w:t>
      </w:r>
    </w:p>
    <w:p w14:paraId="2CA439C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（6）项目审核时效超过</w:t>
      </w:r>
      <w:r>
        <w:rPr>
          <w:rFonts w:hint="eastAsia" w:ascii="宋体" w:hAnsi="宋体"/>
          <w:color w:val="auto"/>
          <w:sz w:val="24"/>
          <w:highlight w:val="none"/>
          <w:lang w:eastAsia="zh-CN"/>
        </w:rPr>
        <w:t>甲方</w:t>
      </w:r>
      <w:r>
        <w:rPr>
          <w:rFonts w:hint="eastAsia" w:ascii="宋体" w:hAnsi="宋体"/>
          <w:color w:val="auto"/>
          <w:sz w:val="24"/>
          <w:highlight w:val="none"/>
        </w:rPr>
        <w:t>相关规定的；</w:t>
      </w:r>
    </w:p>
    <w:p w14:paraId="03966C6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（7）单个项目考核得分低于90分的；</w:t>
      </w:r>
    </w:p>
    <w:p w14:paraId="24AF3094">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（8）项目资料遗失严重的；</w:t>
      </w:r>
    </w:p>
    <w:p w14:paraId="3060692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（9）未严格履行保密义务的；</w:t>
      </w:r>
    </w:p>
    <w:p w14:paraId="520629A5">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（10）项目协审过程中，未遵守项目审核管理规范，出具报告不符合要求的；</w:t>
      </w:r>
    </w:p>
    <w:p w14:paraId="49305A6F">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（11）</w:t>
      </w:r>
      <w:r>
        <w:rPr>
          <w:rFonts w:hint="eastAsia" w:ascii="宋体" w:hAnsi="宋体"/>
          <w:color w:val="auto"/>
          <w:sz w:val="24"/>
          <w:highlight w:val="none"/>
          <w:lang w:eastAsia="zh-CN"/>
        </w:rPr>
        <w:t>乙方</w:t>
      </w:r>
      <w:r>
        <w:rPr>
          <w:rFonts w:hint="eastAsia" w:ascii="宋体" w:hAnsi="宋体"/>
          <w:color w:val="auto"/>
          <w:sz w:val="24"/>
          <w:highlight w:val="none"/>
        </w:rPr>
        <w:t>在概算审核中，违反公平公正原则，恶意提高或降低审核标准的。</w:t>
      </w:r>
    </w:p>
    <w:p w14:paraId="5B2A583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二、终止交易资格</w:t>
      </w:r>
    </w:p>
    <w:p w14:paraId="65870486">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入围供应商被发现存在《政府采购框架协议采购方式管理暂行办法》（财政部令第110号）第十九条所列情形的；或存在下列情形的，解除当期框架协议，同时将建议有关部门对其进行处罚，并纳入信用记录：</w:t>
      </w:r>
    </w:p>
    <w:p w14:paraId="36C8441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（1）入围供应商不符合国家有关规定的；</w:t>
      </w:r>
    </w:p>
    <w:p w14:paraId="4D7BE8A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（2）无正当理由拒不接受合同授予的；</w:t>
      </w:r>
    </w:p>
    <w:p w14:paraId="0B7E41AB">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（3）出具虚假工程造价成果文件的；</w:t>
      </w:r>
    </w:p>
    <w:p w14:paraId="5390735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（4）造成项目重大损失的；</w:t>
      </w:r>
    </w:p>
    <w:p w14:paraId="6ADCE25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（5）存在人员挂靠、业务转包等现象的；</w:t>
      </w:r>
    </w:p>
    <w:p w14:paraId="008F9794">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（6）使用不正当竞争手段，影响采购单位正常采购活动；</w:t>
      </w:r>
    </w:p>
    <w:p w14:paraId="37A1A8BA">
      <w:pPr>
        <w:spacing w:line="360" w:lineRule="auto"/>
        <w:ind w:firstLine="480" w:firstLineChars="200"/>
        <w:rPr>
          <w:rFonts w:hint="eastAsia" w:ascii="黑体" w:hAnsi="黑体" w:eastAsia="黑体" w:cs="黑体"/>
          <w:b/>
          <w:bCs/>
          <w:color w:val="auto"/>
          <w:sz w:val="24"/>
          <w:highlight w:val="none"/>
          <w:lang w:val="en-US" w:eastAsia="zh-CN"/>
        </w:rPr>
      </w:pPr>
      <w:r>
        <w:rPr>
          <w:rFonts w:hint="eastAsia" w:ascii="宋体" w:hAnsi="宋体"/>
          <w:color w:val="auto"/>
          <w:sz w:val="24"/>
          <w:highlight w:val="none"/>
        </w:rPr>
        <w:t>（7）其他违法违规行为。</w:t>
      </w:r>
      <w:bookmarkEnd w:id="16"/>
      <w:bookmarkEnd w:id="17"/>
      <w:bookmarkEnd w:id="18"/>
    </w:p>
    <w:p w14:paraId="70A1653B">
      <w:pPr>
        <w:spacing w:line="360" w:lineRule="auto"/>
        <w:ind w:firstLine="482" w:firstLineChars="200"/>
        <w:rPr>
          <w:rFonts w:ascii="黑体" w:hAnsi="黑体" w:eastAsia="黑体" w:cs="黑体"/>
          <w:b/>
          <w:bCs/>
          <w:color w:val="auto"/>
          <w:sz w:val="24"/>
          <w:highlight w:val="none"/>
        </w:rPr>
      </w:pPr>
      <w:r>
        <w:rPr>
          <w:rFonts w:hint="eastAsia" w:ascii="黑体" w:hAnsi="黑体" w:eastAsia="黑体" w:cs="黑体"/>
          <w:b/>
          <w:bCs/>
          <w:color w:val="auto"/>
          <w:sz w:val="24"/>
          <w:highlight w:val="none"/>
          <w:lang w:val="en-US" w:eastAsia="zh-CN"/>
        </w:rPr>
        <w:t>九</w:t>
      </w:r>
      <w:r>
        <w:rPr>
          <w:rFonts w:hint="eastAsia" w:ascii="黑体" w:hAnsi="黑体" w:eastAsia="黑体" w:cs="黑体"/>
          <w:b/>
          <w:bCs/>
          <w:color w:val="auto"/>
          <w:sz w:val="24"/>
          <w:highlight w:val="none"/>
        </w:rPr>
        <w:t>、违约责任：</w:t>
      </w:r>
    </w:p>
    <w:p w14:paraId="1AB899C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1.在本项目规定的服务有效期内如发现入围供应商相关人员有行贿、受贿、经济犯罪等违法行为，一经查实，</w:t>
      </w:r>
      <w:r>
        <w:rPr>
          <w:rFonts w:hint="eastAsia" w:ascii="宋体" w:hAnsi="宋体" w:cs="宋体"/>
          <w:color w:val="auto"/>
          <w:sz w:val="24"/>
          <w:highlight w:val="none"/>
          <w:lang w:eastAsia="zh-CN"/>
        </w:rPr>
        <w:t>甲方</w:t>
      </w:r>
      <w:r>
        <w:rPr>
          <w:rFonts w:hint="eastAsia" w:ascii="宋体" w:hAnsi="宋体" w:cs="宋体"/>
          <w:color w:val="auto"/>
          <w:sz w:val="24"/>
          <w:highlight w:val="none"/>
        </w:rPr>
        <w:t>有权单方解除政府采购合同；</w:t>
      </w:r>
    </w:p>
    <w:p w14:paraId="7A43945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2.入围供应商涂改、倒卖、出租、出借资质证书，或者以其他形式非法转让资质证书；擅自变更、转让、租借承接的工程造价</w:t>
      </w:r>
      <w:r>
        <w:rPr>
          <w:rFonts w:hint="eastAsia" w:ascii="宋体" w:hAnsi="宋体" w:cs="宋体"/>
          <w:color w:val="auto"/>
          <w:sz w:val="24"/>
          <w:highlight w:val="none"/>
          <w:lang w:val="en-US" w:eastAsia="zh-CN"/>
        </w:rPr>
        <w:t>审核</w:t>
      </w:r>
      <w:r>
        <w:rPr>
          <w:rFonts w:hint="eastAsia" w:ascii="宋体" w:hAnsi="宋体" w:cs="宋体"/>
          <w:color w:val="auto"/>
          <w:sz w:val="24"/>
          <w:highlight w:val="none"/>
        </w:rPr>
        <w:t>咨询业务；一经查实，</w:t>
      </w:r>
      <w:r>
        <w:rPr>
          <w:rFonts w:hint="eastAsia" w:ascii="宋体" w:hAnsi="宋体" w:cs="宋体"/>
          <w:color w:val="auto"/>
          <w:sz w:val="24"/>
          <w:highlight w:val="none"/>
          <w:lang w:eastAsia="zh-CN"/>
        </w:rPr>
        <w:t>甲方</w:t>
      </w:r>
      <w:r>
        <w:rPr>
          <w:rFonts w:hint="eastAsia" w:ascii="宋体" w:hAnsi="宋体" w:cs="宋体"/>
          <w:color w:val="auto"/>
          <w:sz w:val="24"/>
          <w:highlight w:val="none"/>
        </w:rPr>
        <w:t>有权依法解除政府采购合同；</w:t>
      </w:r>
    </w:p>
    <w:p w14:paraId="179B098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3.在协审工作中，因入围供应商原因造成违约或疏忽，延误工程实施进度或审核工作出现错误并造成重大影响的，将终止其在服务周期内</w:t>
      </w:r>
      <w:r>
        <w:rPr>
          <w:rFonts w:hint="eastAsia" w:ascii="宋体" w:hAnsi="宋体" w:cs="宋体"/>
          <w:color w:val="auto"/>
          <w:sz w:val="24"/>
          <w:highlight w:val="none"/>
          <w:lang w:eastAsia="zh-CN"/>
        </w:rPr>
        <w:t>宜兴市市级投资</w:t>
      </w:r>
      <w:r>
        <w:rPr>
          <w:rFonts w:hint="eastAsia" w:ascii="宋体" w:hAnsi="宋体" w:cs="宋体"/>
          <w:color w:val="auto"/>
          <w:sz w:val="24"/>
          <w:highlight w:val="none"/>
        </w:rPr>
        <w:t>项目</w:t>
      </w:r>
      <w:r>
        <w:rPr>
          <w:rFonts w:hint="eastAsia" w:ascii="宋体" w:hAnsi="宋体" w:cs="宋体"/>
          <w:color w:val="auto"/>
          <w:sz w:val="24"/>
          <w:highlight w:val="none"/>
          <w:lang w:val="en-US" w:eastAsia="zh-CN"/>
        </w:rPr>
        <w:t>审核</w:t>
      </w:r>
      <w:r>
        <w:rPr>
          <w:rFonts w:hint="eastAsia" w:ascii="宋体" w:hAnsi="宋体" w:cs="宋体"/>
          <w:color w:val="auto"/>
          <w:sz w:val="24"/>
          <w:highlight w:val="none"/>
        </w:rPr>
        <w:t>咨询服务的资格，必要时并采取法律手段解决索赔事宜；</w:t>
      </w:r>
    </w:p>
    <w:p w14:paraId="25881E58">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4.对提供不实或内容虚假的协审结果以及自行对外提供协审咨询报告的，由入围供应商自行承担责任，情节严重的，依法提请有关部门追究咨询单位和相关责任人的法律责任。</w:t>
      </w:r>
    </w:p>
    <w:p w14:paraId="2BF6C268">
      <w:pPr>
        <w:spacing w:line="360" w:lineRule="auto"/>
        <w:ind w:firstLine="482" w:firstLineChars="200"/>
        <w:contextualSpacing/>
        <w:rPr>
          <w:rFonts w:ascii="黑体" w:hAnsi="黑体" w:eastAsia="黑体" w:cs="黑体"/>
          <w:b/>
          <w:bCs/>
          <w:color w:val="auto"/>
          <w:sz w:val="24"/>
          <w:highlight w:val="none"/>
        </w:rPr>
      </w:pPr>
      <w:r>
        <w:rPr>
          <w:rFonts w:hint="eastAsia" w:ascii="黑体" w:hAnsi="黑体" w:eastAsia="黑体" w:cs="黑体"/>
          <w:b/>
          <w:bCs/>
          <w:color w:val="auto"/>
          <w:sz w:val="24"/>
          <w:highlight w:val="none"/>
          <w:lang w:val="en-US" w:eastAsia="zh-CN"/>
        </w:rPr>
        <w:t>十</w:t>
      </w:r>
      <w:r>
        <w:rPr>
          <w:rFonts w:hint="eastAsia" w:ascii="黑体" w:hAnsi="黑体" w:eastAsia="黑体" w:cs="黑体"/>
          <w:b/>
          <w:bCs/>
          <w:color w:val="auto"/>
          <w:sz w:val="24"/>
          <w:highlight w:val="none"/>
        </w:rPr>
        <w:t>、不可抗力</w:t>
      </w:r>
    </w:p>
    <w:p w14:paraId="2B10B661">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1、不可抗力，是指不能预见、不能避免并不能克服的客观情况，如战争、动乱、瘟疫、严重火灾、洪水、地震、风暴或其他自然灾害等。</w:t>
      </w:r>
    </w:p>
    <w:p w14:paraId="71DA56B5">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2、任何一方因不可抗力不能履行本合同规定的全部或部分义务，应尽快以书面形式将不可抗力的情况、原因及对履行本合同的影响等及时通知另一方。同时，遭受不可抗力影响的一方有义务尽可能及时采取适当或必要措施减少或消除不可抗力的影响，因未尽本义务而造成的相关损失由其承担。</w:t>
      </w:r>
    </w:p>
    <w:p w14:paraId="39333D05">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3、发生不可抗力事件，任何一方均不对因不可抗力无法履行或迟延履行本合同义务而使另一方蒙受的任何损失承担责任，法律另有规定的除外。</w:t>
      </w:r>
    </w:p>
    <w:p w14:paraId="344A5250">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4、</w:t>
      </w:r>
      <w:r>
        <w:rPr>
          <w:rFonts w:hint="eastAsia" w:ascii="宋体" w:hAnsi="宋体"/>
          <w:bCs/>
          <w:color w:val="auto"/>
          <w:sz w:val="24"/>
          <w:highlight w:val="none"/>
          <w:lang w:val="en-US" w:eastAsia="zh-CN"/>
        </w:rPr>
        <w:t>甲乙</w:t>
      </w:r>
      <w:r>
        <w:rPr>
          <w:rFonts w:hint="eastAsia" w:ascii="宋体" w:hAnsi="宋体"/>
          <w:bCs/>
          <w:color w:val="auto"/>
          <w:sz w:val="24"/>
          <w:highlight w:val="none"/>
        </w:rPr>
        <w:t>各方应根据不可抗力对本合同履行的影响程度，协商确定是否终止本合同或是继续履行本合同。</w:t>
      </w:r>
    </w:p>
    <w:p w14:paraId="4C52D07F">
      <w:pPr>
        <w:adjustRightInd w:val="0"/>
        <w:snapToGrid w:val="0"/>
        <w:spacing w:line="360" w:lineRule="auto"/>
        <w:ind w:firstLine="480"/>
        <w:rPr>
          <w:rFonts w:ascii="宋体" w:hAnsi="宋体"/>
          <w:b/>
          <w:bCs/>
          <w:color w:val="auto"/>
          <w:sz w:val="24"/>
          <w:szCs w:val="24"/>
          <w:highlight w:val="none"/>
        </w:rPr>
      </w:pPr>
      <w:r>
        <w:rPr>
          <w:rFonts w:hint="eastAsia" w:ascii="黑体" w:hAnsi="黑体" w:eastAsia="黑体" w:cs="黑体"/>
          <w:b/>
          <w:bCs/>
          <w:color w:val="auto"/>
          <w:sz w:val="24"/>
          <w:highlight w:val="none"/>
        </w:rPr>
        <w:t>十</w:t>
      </w:r>
      <w:r>
        <w:rPr>
          <w:rFonts w:hint="eastAsia" w:ascii="黑体" w:hAnsi="黑体" w:eastAsia="黑体" w:cs="黑体"/>
          <w:b/>
          <w:bCs/>
          <w:color w:val="auto"/>
          <w:sz w:val="24"/>
          <w:highlight w:val="none"/>
          <w:lang w:val="en-US" w:eastAsia="zh-CN"/>
        </w:rPr>
        <w:t>一</w:t>
      </w:r>
      <w:r>
        <w:rPr>
          <w:rFonts w:hint="eastAsia" w:ascii="黑体" w:hAnsi="黑体" w:eastAsia="黑体" w:cs="黑体"/>
          <w:b/>
          <w:bCs/>
          <w:color w:val="auto"/>
          <w:sz w:val="24"/>
          <w:highlight w:val="none"/>
        </w:rPr>
        <w:t>、</w:t>
      </w:r>
      <w:r>
        <w:rPr>
          <w:rFonts w:hint="eastAsia" w:ascii="宋体" w:hAnsi="宋体"/>
          <w:b/>
          <w:bCs/>
          <w:color w:val="auto"/>
          <w:sz w:val="24"/>
          <w:szCs w:val="24"/>
          <w:highlight w:val="none"/>
        </w:rPr>
        <w:t xml:space="preserve"> 框架协议的修正和终止：</w:t>
      </w:r>
    </w:p>
    <w:p w14:paraId="049F544D">
      <w:pPr>
        <w:adjustRightInd w:val="0"/>
        <w:snapToGrid w:val="0"/>
        <w:spacing w:line="360" w:lineRule="auto"/>
        <w:ind w:firstLine="480"/>
        <w:rPr>
          <w:rFonts w:ascii="宋体" w:hAnsi="宋体"/>
          <w:bCs/>
          <w:color w:val="auto"/>
          <w:sz w:val="24"/>
          <w:szCs w:val="24"/>
          <w:highlight w:val="none"/>
        </w:rPr>
      </w:pPr>
      <w:r>
        <w:rPr>
          <w:rFonts w:hint="eastAsia" w:ascii="宋体" w:hAnsi="宋体"/>
          <w:bCs/>
          <w:color w:val="auto"/>
          <w:sz w:val="24"/>
          <w:szCs w:val="24"/>
          <w:highlight w:val="none"/>
        </w:rPr>
        <w:t>（一）任何一方无正当理由不得擅自解除本框架协议，否则擅自解除框架协议的一方应向对方支付违约金；</w:t>
      </w:r>
    </w:p>
    <w:p w14:paraId="60035D8A">
      <w:pPr>
        <w:adjustRightInd w:val="0"/>
        <w:snapToGrid w:val="0"/>
        <w:spacing w:line="360" w:lineRule="auto"/>
        <w:ind w:firstLine="480"/>
        <w:rPr>
          <w:rFonts w:ascii="宋体" w:hAnsi="宋体"/>
          <w:bCs/>
          <w:color w:val="auto"/>
          <w:sz w:val="24"/>
          <w:szCs w:val="24"/>
          <w:highlight w:val="none"/>
        </w:rPr>
      </w:pPr>
      <w:r>
        <w:rPr>
          <w:rFonts w:hint="eastAsia" w:ascii="宋体" w:hAnsi="宋体"/>
          <w:bCs/>
          <w:color w:val="auto"/>
          <w:sz w:val="24"/>
          <w:szCs w:val="24"/>
          <w:highlight w:val="none"/>
        </w:rPr>
        <w:t>（二）经甲、乙双方一致同意，可以修正或依法终止本框架协议；</w:t>
      </w:r>
    </w:p>
    <w:p w14:paraId="6592C79E">
      <w:pPr>
        <w:adjustRightInd w:val="0"/>
        <w:snapToGrid w:val="0"/>
        <w:spacing w:line="360" w:lineRule="auto"/>
        <w:ind w:firstLine="480"/>
        <w:rPr>
          <w:rFonts w:ascii="宋体" w:hAnsi="宋体"/>
          <w:bCs/>
          <w:color w:val="auto"/>
          <w:sz w:val="24"/>
          <w:szCs w:val="24"/>
          <w:highlight w:val="none"/>
        </w:rPr>
      </w:pPr>
      <w:r>
        <w:rPr>
          <w:rFonts w:hint="eastAsia" w:ascii="宋体" w:hAnsi="宋体"/>
          <w:bCs/>
          <w:color w:val="auto"/>
          <w:sz w:val="24"/>
          <w:szCs w:val="24"/>
          <w:highlight w:val="none"/>
        </w:rPr>
        <w:t>（三）因不可抗力导致本框架协议不能履行或不能完全履行，发生不可抗力的一方及时将情况通知对方，并采取措施减少或消除不可抗力对履行框架协议的影响。框架协议双方应根据不可抗力对框架协议的影响程度，协商确定是否终止或继续履行框架协议；</w:t>
      </w:r>
    </w:p>
    <w:p w14:paraId="52851251">
      <w:pPr>
        <w:spacing w:line="360" w:lineRule="auto"/>
        <w:ind w:firstLine="480" w:firstLineChars="200"/>
        <w:contextualSpacing/>
        <w:rPr>
          <w:rFonts w:hint="eastAsia" w:ascii="黑体" w:hAnsi="黑体" w:eastAsia="黑体" w:cs="黑体"/>
          <w:color w:val="auto"/>
          <w:sz w:val="24"/>
          <w:highlight w:val="none"/>
        </w:rPr>
      </w:pPr>
      <w:r>
        <w:rPr>
          <w:rFonts w:hint="eastAsia" w:ascii="黑体" w:hAnsi="黑体" w:eastAsia="黑体" w:cs="黑体"/>
          <w:color w:val="auto"/>
          <w:sz w:val="24"/>
          <w:highlight w:val="none"/>
          <w:lang w:val="en-US" w:eastAsia="zh-CN"/>
        </w:rPr>
        <w:t>十二、</w:t>
      </w:r>
      <w:r>
        <w:rPr>
          <w:rFonts w:hint="eastAsia" w:ascii="黑体" w:hAnsi="黑体" w:eastAsia="黑体" w:cs="黑体"/>
          <w:color w:val="auto"/>
          <w:sz w:val="24"/>
          <w:highlight w:val="none"/>
        </w:rPr>
        <w:t>入围供应商的清退和补充规则：</w:t>
      </w:r>
    </w:p>
    <w:p w14:paraId="621274D8">
      <w:pPr>
        <w:adjustRightInd w:val="0"/>
        <w:snapToGrid w:val="0"/>
        <w:spacing w:line="360" w:lineRule="auto"/>
        <w:ind w:firstLine="480"/>
        <w:rPr>
          <w:rFonts w:ascii="宋体" w:hAnsi="宋体"/>
          <w:bCs/>
          <w:color w:val="auto"/>
          <w:sz w:val="24"/>
          <w:szCs w:val="24"/>
          <w:highlight w:val="none"/>
        </w:rPr>
      </w:pPr>
      <w:r>
        <w:rPr>
          <w:rFonts w:hint="eastAsia" w:ascii="宋体" w:hAnsi="宋体"/>
          <w:bCs/>
          <w:color w:val="auto"/>
          <w:sz w:val="24"/>
          <w:szCs w:val="24"/>
          <w:highlight w:val="none"/>
        </w:rPr>
        <w:t>清退规则：入围供应商存在《政府采购框架协议采购方式管理暂行办法》第十九条规定情形以及征集文件中规定的其他相应情形的，尚未签订框架协议的，取消其入围资格；已经签订框架协议的，解除与其签订的框架协议</w:t>
      </w:r>
      <w:r>
        <w:rPr>
          <w:rFonts w:hint="eastAsia" w:ascii="宋体" w:hAnsi="宋体"/>
          <w:bCs/>
          <w:color w:val="auto"/>
          <w:sz w:val="24"/>
          <w:szCs w:val="24"/>
          <w:highlight w:val="none"/>
          <w:lang w:eastAsia="zh-CN"/>
        </w:rPr>
        <w:t>。</w:t>
      </w:r>
    </w:p>
    <w:p w14:paraId="25CD08B3">
      <w:pPr>
        <w:spacing w:line="360" w:lineRule="auto"/>
        <w:ind w:firstLine="480" w:firstLineChars="200"/>
        <w:contextualSpacing/>
        <w:rPr>
          <w:rFonts w:ascii="黑体" w:hAnsi="黑体" w:eastAsia="黑体" w:cs="黑体"/>
          <w:color w:val="auto"/>
          <w:sz w:val="24"/>
          <w:highlight w:val="none"/>
        </w:rPr>
      </w:pPr>
      <w:bookmarkStart w:id="19" w:name="_Toc416420530"/>
      <w:bookmarkStart w:id="20" w:name="_Toc414887745"/>
      <w:bookmarkStart w:id="21" w:name="_Toc414975306"/>
      <w:r>
        <w:rPr>
          <w:rFonts w:hint="eastAsia" w:ascii="黑体" w:hAnsi="黑体" w:eastAsia="黑体" w:cs="黑体"/>
          <w:color w:val="auto"/>
          <w:sz w:val="24"/>
          <w:highlight w:val="none"/>
        </w:rPr>
        <w:t>十</w:t>
      </w:r>
      <w:r>
        <w:rPr>
          <w:rFonts w:hint="eastAsia" w:ascii="黑体" w:hAnsi="黑体" w:eastAsia="黑体" w:cs="黑体"/>
          <w:color w:val="auto"/>
          <w:sz w:val="24"/>
          <w:highlight w:val="none"/>
          <w:lang w:val="en-US" w:eastAsia="zh-CN"/>
        </w:rPr>
        <w:t>三</w:t>
      </w:r>
      <w:r>
        <w:rPr>
          <w:rFonts w:hint="eastAsia" w:ascii="黑体" w:hAnsi="黑体" w:eastAsia="黑体" w:cs="黑体"/>
          <w:color w:val="auto"/>
          <w:sz w:val="24"/>
          <w:highlight w:val="none"/>
        </w:rPr>
        <w:t>、争议解决</w:t>
      </w:r>
      <w:bookmarkEnd w:id="19"/>
      <w:bookmarkEnd w:id="20"/>
      <w:bookmarkEnd w:id="21"/>
    </w:p>
    <w:p w14:paraId="28429043">
      <w:pPr>
        <w:spacing w:line="360" w:lineRule="auto"/>
        <w:ind w:firstLine="480" w:firstLineChars="200"/>
        <w:contextualSpacing/>
        <w:rPr>
          <w:rFonts w:hint="eastAsia" w:ascii="宋体" w:hAnsi="宋体"/>
          <w:bCs/>
          <w:color w:val="auto"/>
          <w:sz w:val="24"/>
          <w:highlight w:val="none"/>
        </w:rPr>
      </w:pPr>
      <w:r>
        <w:rPr>
          <w:rFonts w:hint="eastAsia" w:ascii="宋体" w:hAnsi="宋体"/>
          <w:bCs/>
          <w:color w:val="auto"/>
          <w:sz w:val="24"/>
          <w:highlight w:val="none"/>
        </w:rPr>
        <w:t>双方在执行合同中所发生的一切争议，应通过协商解决。如协商不成，可向</w:t>
      </w:r>
      <w:r>
        <w:rPr>
          <w:rFonts w:hint="eastAsia" w:ascii="宋体" w:hAnsi="宋体"/>
          <w:bCs/>
          <w:color w:val="auto"/>
          <w:sz w:val="24"/>
          <w:highlight w:val="none"/>
          <w:lang w:eastAsia="zh-CN"/>
        </w:rPr>
        <w:t>甲方</w:t>
      </w:r>
      <w:r>
        <w:rPr>
          <w:rFonts w:hint="eastAsia" w:ascii="宋体" w:hAnsi="宋体"/>
          <w:bCs/>
          <w:color w:val="auto"/>
          <w:sz w:val="24"/>
          <w:highlight w:val="none"/>
        </w:rPr>
        <w:t>所在地人民法院起诉。</w:t>
      </w:r>
    </w:p>
    <w:p w14:paraId="0ED9F4BF">
      <w:pPr>
        <w:snapToGrid w:val="0"/>
        <w:spacing w:line="360" w:lineRule="auto"/>
        <w:ind w:left="120" w:leftChars="57" w:firstLine="422" w:firstLineChars="175"/>
        <w:rPr>
          <w:rFonts w:hint="eastAsia" w:ascii="宋体" w:hAnsi="宋体" w:eastAsia="宋体"/>
          <w:color w:val="auto"/>
          <w:sz w:val="24"/>
          <w:szCs w:val="24"/>
          <w:highlight w:val="none"/>
          <w:lang w:eastAsia="zh-CN"/>
        </w:rPr>
      </w:pPr>
      <w:bookmarkStart w:id="22" w:name="_Toc414975308"/>
      <w:bookmarkStart w:id="23" w:name="_Toc414887747"/>
      <w:bookmarkStart w:id="24" w:name="_Toc416420532"/>
      <w:r>
        <w:rPr>
          <w:rFonts w:hint="eastAsia" w:ascii="宋体" w:hAnsi="宋体"/>
          <w:b/>
          <w:color w:val="auto"/>
          <w:sz w:val="24"/>
          <w:szCs w:val="24"/>
          <w:highlight w:val="none"/>
          <w:lang w:val="en-US" w:eastAsia="zh-CN"/>
        </w:rPr>
        <w:t>十四、</w:t>
      </w:r>
      <w:r>
        <w:rPr>
          <w:rFonts w:hint="eastAsia" w:ascii="宋体" w:hAnsi="宋体"/>
          <w:color w:val="auto"/>
          <w:sz w:val="24"/>
          <w:szCs w:val="24"/>
          <w:highlight w:val="none"/>
        </w:rPr>
        <w:t>本框架协议一式三份，具有同等法律效力，甲方一份，乙方一份，</w:t>
      </w:r>
      <w:r>
        <w:rPr>
          <w:rFonts w:hint="eastAsia" w:ascii="宋体" w:hAnsi="宋体"/>
          <w:bCs/>
          <w:color w:val="auto"/>
          <w:sz w:val="24"/>
          <w:highlight w:val="none"/>
        </w:rPr>
        <w:t>监管部门各执一份</w:t>
      </w:r>
      <w:r>
        <w:rPr>
          <w:rFonts w:hint="eastAsia" w:ascii="宋体" w:hAnsi="宋体"/>
          <w:color w:val="auto"/>
          <w:sz w:val="24"/>
          <w:szCs w:val="24"/>
          <w:highlight w:val="none"/>
        </w:rPr>
        <w:t>。本框架协议经双方签字、盖章后立即生效</w:t>
      </w:r>
      <w:r>
        <w:rPr>
          <w:rFonts w:hint="eastAsia" w:ascii="宋体" w:hAnsi="宋体"/>
          <w:color w:val="auto"/>
          <w:sz w:val="24"/>
          <w:szCs w:val="24"/>
          <w:highlight w:val="none"/>
          <w:lang w:eastAsia="zh-CN"/>
        </w:rPr>
        <w:t>。</w:t>
      </w:r>
    </w:p>
    <w:p w14:paraId="3AF15C44">
      <w:pPr>
        <w:snapToGrid w:val="0"/>
        <w:spacing w:line="360" w:lineRule="auto"/>
        <w:ind w:firstLine="542" w:firstLineChars="225"/>
        <w:rPr>
          <w:rFonts w:ascii="宋体" w:hAnsi="宋体"/>
          <w:color w:val="auto"/>
          <w:sz w:val="24"/>
          <w:szCs w:val="24"/>
          <w:highlight w:val="none"/>
        </w:rPr>
      </w:pPr>
      <w:r>
        <w:rPr>
          <w:rFonts w:hint="eastAsia" w:ascii="宋体" w:hAnsi="宋体"/>
          <w:b/>
          <w:color w:val="auto"/>
          <w:sz w:val="24"/>
          <w:szCs w:val="24"/>
          <w:highlight w:val="none"/>
          <w:lang w:val="en-US" w:eastAsia="zh-CN"/>
        </w:rPr>
        <w:t>十五、</w:t>
      </w:r>
      <w:r>
        <w:rPr>
          <w:rFonts w:hint="eastAsia" w:ascii="宋体" w:hAnsi="宋体"/>
          <w:b/>
          <w:color w:val="auto"/>
          <w:sz w:val="24"/>
          <w:szCs w:val="24"/>
          <w:highlight w:val="none"/>
        </w:rPr>
        <w:t xml:space="preserve"> </w:t>
      </w:r>
      <w:r>
        <w:rPr>
          <w:rFonts w:hint="eastAsia" w:ascii="宋体" w:hAnsi="宋体"/>
          <w:color w:val="auto"/>
          <w:sz w:val="24"/>
          <w:szCs w:val="24"/>
          <w:highlight w:val="none"/>
        </w:rPr>
        <w:t>本次采购活动中的征集文件、入围供应商的响应文件、有关澄清文件，为本框架协议不可分割的组成部分，具有与本框架协议同等的法律效律。</w:t>
      </w:r>
    </w:p>
    <w:p w14:paraId="78F917C0">
      <w:pPr>
        <w:spacing w:line="360" w:lineRule="auto"/>
        <w:ind w:firstLine="482" w:firstLineChars="200"/>
        <w:contextualSpacing/>
        <w:rPr>
          <w:rFonts w:hint="eastAsia" w:ascii="宋体" w:hAnsi="宋体"/>
          <w:color w:val="auto"/>
          <w:sz w:val="24"/>
          <w:szCs w:val="24"/>
          <w:highlight w:val="none"/>
        </w:rPr>
      </w:pPr>
      <w:r>
        <w:rPr>
          <w:rFonts w:hint="eastAsia" w:ascii="宋体" w:hAnsi="宋体"/>
          <w:b/>
          <w:bCs/>
          <w:color w:val="auto"/>
          <w:sz w:val="24"/>
          <w:szCs w:val="24"/>
          <w:highlight w:val="none"/>
          <w:lang w:val="en-US" w:eastAsia="zh-CN"/>
        </w:rPr>
        <w:t>十六、</w:t>
      </w:r>
      <w:r>
        <w:rPr>
          <w:rFonts w:hint="eastAsia" w:ascii="宋体" w:hAnsi="宋体"/>
          <w:color w:val="auto"/>
          <w:sz w:val="24"/>
          <w:szCs w:val="24"/>
          <w:highlight w:val="none"/>
        </w:rPr>
        <w:t>本框架协议其他未尽事宜及与征集文件有矛盾之处，以</w:t>
      </w:r>
      <w:r>
        <w:rPr>
          <w:rFonts w:hint="eastAsia" w:ascii="宋体" w:hAnsi="宋体"/>
          <w:color w:val="auto"/>
          <w:sz w:val="24"/>
          <w:szCs w:val="24"/>
          <w:highlight w:val="none"/>
          <w:lang w:val="en-US" w:eastAsia="zh-CN"/>
        </w:rPr>
        <w:t>本项目</w:t>
      </w:r>
      <w:r>
        <w:rPr>
          <w:rFonts w:hint="eastAsia" w:ascii="宋体" w:hAnsi="宋体"/>
          <w:color w:val="auto"/>
          <w:sz w:val="24"/>
          <w:szCs w:val="24"/>
          <w:highlight w:val="none"/>
        </w:rPr>
        <w:t>征集文件（</w:t>
      </w:r>
      <w:r>
        <w:rPr>
          <w:rFonts w:hint="eastAsia" w:ascii="宋体" w:hAnsi="宋体"/>
          <w:color w:val="auto"/>
          <w:sz w:val="24"/>
          <w:szCs w:val="24"/>
          <w:highlight w:val="none"/>
          <w:u w:val="single"/>
        </w:rPr>
        <w:t>项目编号：</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rPr>
        <w:t>）为准。</w:t>
      </w:r>
    </w:p>
    <w:p w14:paraId="29EEBD05">
      <w:pPr>
        <w:spacing w:line="360" w:lineRule="auto"/>
        <w:ind w:firstLine="480" w:firstLineChars="200"/>
        <w:contextualSpacing/>
        <w:rPr>
          <w:rFonts w:hint="eastAsia" w:ascii="黑体" w:hAnsi="黑体" w:eastAsia="黑体" w:cs="黑体"/>
          <w:color w:val="auto"/>
          <w:sz w:val="24"/>
          <w:highlight w:val="none"/>
        </w:rPr>
      </w:pPr>
      <w:r>
        <w:rPr>
          <w:rFonts w:hint="eastAsia" w:ascii="黑体" w:hAnsi="黑体" w:eastAsia="黑体" w:cs="黑体"/>
          <w:color w:val="auto"/>
          <w:sz w:val="24"/>
          <w:highlight w:val="none"/>
        </w:rPr>
        <w:t>十</w:t>
      </w:r>
      <w:r>
        <w:rPr>
          <w:rFonts w:hint="eastAsia" w:ascii="黑体" w:hAnsi="黑体" w:eastAsia="黑体" w:cs="黑体"/>
          <w:color w:val="auto"/>
          <w:sz w:val="24"/>
          <w:highlight w:val="none"/>
          <w:lang w:val="en-US" w:eastAsia="zh-CN"/>
        </w:rPr>
        <w:t>七</w:t>
      </w:r>
      <w:r>
        <w:rPr>
          <w:rFonts w:hint="eastAsia" w:ascii="黑体" w:hAnsi="黑体" w:eastAsia="黑体" w:cs="黑体"/>
          <w:color w:val="auto"/>
          <w:sz w:val="24"/>
          <w:highlight w:val="none"/>
        </w:rPr>
        <w:t>、附1：《廉洁从审承诺》</w:t>
      </w:r>
      <w:bookmarkEnd w:id="22"/>
      <w:bookmarkEnd w:id="23"/>
      <w:bookmarkEnd w:id="24"/>
      <w:r>
        <w:rPr>
          <w:rFonts w:hint="eastAsia" w:ascii="黑体" w:hAnsi="黑体" w:eastAsia="黑体" w:cs="黑体"/>
          <w:color w:val="auto"/>
          <w:sz w:val="24"/>
          <w:highlight w:val="none"/>
        </w:rPr>
        <w:t>；</w:t>
      </w:r>
    </w:p>
    <w:p w14:paraId="247BE1D3">
      <w:pPr>
        <w:pStyle w:val="2"/>
        <w:rPr>
          <w:rFonts w:hint="eastAsia" w:ascii="黑体" w:hAnsi="黑体" w:eastAsia="黑体" w:cs="黑体"/>
          <w:color w:val="auto"/>
          <w:sz w:val="24"/>
          <w:highlight w:val="none"/>
        </w:rPr>
      </w:pPr>
    </w:p>
    <w:p w14:paraId="30EB89E1">
      <w:pPr>
        <w:pStyle w:val="2"/>
        <w:rPr>
          <w:rFonts w:hint="eastAsia" w:ascii="黑体" w:hAnsi="黑体" w:eastAsia="黑体" w:cs="黑体"/>
          <w:color w:val="auto"/>
          <w:sz w:val="24"/>
          <w:highlight w:val="none"/>
        </w:rPr>
      </w:pPr>
    </w:p>
    <w:tbl>
      <w:tblPr>
        <w:tblStyle w:val="22"/>
        <w:tblW w:w="9356" w:type="dxa"/>
        <w:jc w:val="center"/>
        <w:tblLayout w:type="fixed"/>
        <w:tblCellMar>
          <w:top w:w="0" w:type="dxa"/>
          <w:left w:w="108" w:type="dxa"/>
          <w:bottom w:w="0" w:type="dxa"/>
          <w:right w:w="108" w:type="dxa"/>
        </w:tblCellMar>
      </w:tblPr>
      <w:tblGrid>
        <w:gridCol w:w="4536"/>
        <w:gridCol w:w="284"/>
        <w:gridCol w:w="4536"/>
      </w:tblGrid>
      <w:tr w14:paraId="16CE47DA">
        <w:tblPrEx>
          <w:tblCellMar>
            <w:top w:w="0" w:type="dxa"/>
            <w:left w:w="108" w:type="dxa"/>
            <w:bottom w:w="0" w:type="dxa"/>
            <w:right w:w="108" w:type="dxa"/>
          </w:tblCellMar>
        </w:tblPrEx>
        <w:trPr>
          <w:jc w:val="center"/>
        </w:trPr>
        <w:tc>
          <w:tcPr>
            <w:tcW w:w="4536" w:type="dxa"/>
            <w:vAlign w:val="top"/>
          </w:tcPr>
          <w:p w14:paraId="098D4FF2">
            <w:pPr>
              <w:spacing w:line="360" w:lineRule="auto"/>
              <w:rPr>
                <w:rFonts w:ascii="宋体" w:hAnsi="宋体"/>
                <w:bCs/>
                <w:color w:val="auto"/>
                <w:sz w:val="24"/>
                <w:highlight w:val="none"/>
                <w:u w:val="single"/>
              </w:rPr>
            </w:pPr>
            <w:r>
              <w:rPr>
                <w:rFonts w:hint="eastAsia" w:ascii="宋体" w:hAnsi="宋体"/>
                <w:bCs/>
                <w:color w:val="auto"/>
                <w:sz w:val="24"/>
                <w:highlight w:val="none"/>
              </w:rPr>
              <w:t>甲方（采购单位）：</w:t>
            </w:r>
            <w:r>
              <w:rPr>
                <w:rFonts w:hint="eastAsia" w:ascii="宋体" w:hAnsi="宋体"/>
                <w:bCs/>
                <w:color w:val="auto"/>
                <w:sz w:val="24"/>
                <w:highlight w:val="none"/>
                <w:u w:val="single"/>
              </w:rPr>
              <w:t xml:space="preserve">  　       </w:t>
            </w:r>
            <w:r>
              <w:rPr>
                <w:rFonts w:hint="eastAsia" w:ascii="宋体" w:hAnsi="宋体"/>
                <w:bCs/>
                <w:color w:val="auto"/>
                <w:sz w:val="24"/>
                <w:highlight w:val="none"/>
              </w:rPr>
              <w:t>（盖章）</w:t>
            </w:r>
          </w:p>
        </w:tc>
        <w:tc>
          <w:tcPr>
            <w:tcW w:w="284" w:type="dxa"/>
            <w:vAlign w:val="top"/>
          </w:tcPr>
          <w:p w14:paraId="7A4DAE18">
            <w:pPr>
              <w:spacing w:line="360" w:lineRule="auto"/>
              <w:rPr>
                <w:rFonts w:ascii="宋体" w:hAnsi="宋体"/>
                <w:color w:val="auto"/>
                <w:sz w:val="24"/>
                <w:highlight w:val="none"/>
              </w:rPr>
            </w:pPr>
          </w:p>
        </w:tc>
        <w:tc>
          <w:tcPr>
            <w:tcW w:w="4536" w:type="dxa"/>
            <w:vAlign w:val="top"/>
          </w:tcPr>
          <w:p w14:paraId="044E63DA">
            <w:pPr>
              <w:spacing w:line="360" w:lineRule="auto"/>
              <w:rPr>
                <w:rFonts w:ascii="宋体" w:hAnsi="宋体"/>
                <w:bCs/>
                <w:color w:val="auto"/>
                <w:sz w:val="24"/>
                <w:highlight w:val="none"/>
                <w:u w:val="single"/>
              </w:rPr>
            </w:pPr>
            <w:r>
              <w:rPr>
                <w:rFonts w:hint="eastAsia" w:ascii="宋体" w:hAnsi="宋体"/>
                <w:bCs/>
                <w:color w:val="auto"/>
                <w:sz w:val="24"/>
                <w:highlight w:val="none"/>
              </w:rPr>
              <w:t>乙方（成交单位）：</w:t>
            </w:r>
            <w:r>
              <w:rPr>
                <w:rFonts w:hint="eastAsia" w:ascii="宋体" w:hAnsi="宋体"/>
                <w:bCs/>
                <w:color w:val="auto"/>
                <w:sz w:val="24"/>
                <w:highlight w:val="none"/>
                <w:u w:val="single"/>
              </w:rPr>
              <w:t xml:space="preserve">  　       </w:t>
            </w:r>
            <w:r>
              <w:rPr>
                <w:rFonts w:hint="eastAsia" w:ascii="宋体" w:hAnsi="宋体"/>
                <w:bCs/>
                <w:color w:val="auto"/>
                <w:sz w:val="24"/>
                <w:highlight w:val="none"/>
              </w:rPr>
              <w:t>（盖章）</w:t>
            </w:r>
          </w:p>
        </w:tc>
      </w:tr>
      <w:tr w14:paraId="0573A33D">
        <w:tblPrEx>
          <w:tblCellMar>
            <w:top w:w="0" w:type="dxa"/>
            <w:left w:w="108" w:type="dxa"/>
            <w:bottom w:w="0" w:type="dxa"/>
            <w:right w:w="108" w:type="dxa"/>
          </w:tblCellMar>
        </w:tblPrEx>
        <w:trPr>
          <w:jc w:val="center"/>
        </w:trPr>
        <w:tc>
          <w:tcPr>
            <w:tcW w:w="4536" w:type="dxa"/>
            <w:vAlign w:val="top"/>
          </w:tcPr>
          <w:p w14:paraId="0428A31D">
            <w:pPr>
              <w:spacing w:line="360" w:lineRule="auto"/>
              <w:rPr>
                <w:rFonts w:ascii="宋体" w:hAnsi="宋体"/>
                <w:color w:val="auto"/>
                <w:sz w:val="24"/>
                <w:highlight w:val="none"/>
              </w:rPr>
            </w:pPr>
            <w:r>
              <w:rPr>
                <w:rFonts w:hint="eastAsia" w:ascii="宋体" w:hAnsi="宋体"/>
                <w:bCs/>
                <w:color w:val="auto"/>
                <w:sz w:val="24"/>
                <w:highlight w:val="none"/>
              </w:rPr>
              <w:t>地址：</w:t>
            </w:r>
            <w:r>
              <w:rPr>
                <w:rFonts w:hint="eastAsia" w:ascii="宋体" w:hAnsi="宋体"/>
                <w:bCs/>
                <w:color w:val="auto"/>
                <w:sz w:val="24"/>
                <w:highlight w:val="none"/>
                <w:u w:val="single"/>
              </w:rPr>
              <w:t>　　　　　　　　　　　　　　　</w:t>
            </w:r>
          </w:p>
        </w:tc>
        <w:tc>
          <w:tcPr>
            <w:tcW w:w="284" w:type="dxa"/>
            <w:vAlign w:val="top"/>
          </w:tcPr>
          <w:p w14:paraId="685732E3">
            <w:pPr>
              <w:spacing w:line="360" w:lineRule="auto"/>
              <w:rPr>
                <w:rFonts w:ascii="宋体" w:hAnsi="宋体"/>
                <w:color w:val="auto"/>
                <w:sz w:val="24"/>
                <w:highlight w:val="none"/>
              </w:rPr>
            </w:pPr>
          </w:p>
        </w:tc>
        <w:tc>
          <w:tcPr>
            <w:tcW w:w="4536" w:type="dxa"/>
            <w:vAlign w:val="top"/>
          </w:tcPr>
          <w:p w14:paraId="307E150F">
            <w:pPr>
              <w:spacing w:line="360" w:lineRule="auto"/>
              <w:rPr>
                <w:rFonts w:ascii="宋体" w:hAnsi="宋体"/>
                <w:color w:val="auto"/>
                <w:sz w:val="24"/>
                <w:highlight w:val="none"/>
              </w:rPr>
            </w:pPr>
            <w:r>
              <w:rPr>
                <w:rFonts w:hint="eastAsia" w:ascii="宋体" w:hAnsi="宋体"/>
                <w:bCs/>
                <w:color w:val="auto"/>
                <w:sz w:val="24"/>
                <w:highlight w:val="none"/>
              </w:rPr>
              <w:t>地址：</w:t>
            </w:r>
            <w:r>
              <w:rPr>
                <w:rFonts w:hint="eastAsia" w:ascii="宋体" w:hAnsi="宋体"/>
                <w:bCs/>
                <w:color w:val="auto"/>
                <w:sz w:val="24"/>
                <w:highlight w:val="none"/>
                <w:u w:val="single"/>
              </w:rPr>
              <w:t>　　　　　　　　　　　　　　　</w:t>
            </w:r>
          </w:p>
        </w:tc>
      </w:tr>
      <w:tr w14:paraId="70A57468">
        <w:tblPrEx>
          <w:tblCellMar>
            <w:top w:w="0" w:type="dxa"/>
            <w:left w:w="108" w:type="dxa"/>
            <w:bottom w:w="0" w:type="dxa"/>
            <w:right w:w="108" w:type="dxa"/>
          </w:tblCellMar>
        </w:tblPrEx>
        <w:trPr>
          <w:jc w:val="center"/>
        </w:trPr>
        <w:tc>
          <w:tcPr>
            <w:tcW w:w="4536" w:type="dxa"/>
            <w:vAlign w:val="top"/>
          </w:tcPr>
          <w:p w14:paraId="6841E9CC">
            <w:pPr>
              <w:spacing w:line="360" w:lineRule="auto"/>
              <w:rPr>
                <w:rFonts w:ascii="宋体" w:hAnsi="宋体"/>
                <w:color w:val="auto"/>
                <w:sz w:val="24"/>
                <w:highlight w:val="none"/>
                <w:u w:val="single"/>
              </w:rPr>
            </w:pPr>
            <w:r>
              <w:rPr>
                <w:rFonts w:hint="eastAsia" w:ascii="宋体" w:hAnsi="宋体"/>
                <w:bCs/>
                <w:color w:val="auto"/>
                <w:sz w:val="24"/>
                <w:highlight w:val="none"/>
              </w:rPr>
              <w:t>法定（授权）代表人：</w:t>
            </w:r>
          </w:p>
        </w:tc>
        <w:tc>
          <w:tcPr>
            <w:tcW w:w="284" w:type="dxa"/>
            <w:vAlign w:val="top"/>
          </w:tcPr>
          <w:p w14:paraId="717CB008">
            <w:pPr>
              <w:spacing w:line="360" w:lineRule="auto"/>
              <w:rPr>
                <w:rFonts w:ascii="宋体" w:hAnsi="宋体"/>
                <w:color w:val="auto"/>
                <w:sz w:val="24"/>
                <w:highlight w:val="none"/>
              </w:rPr>
            </w:pPr>
          </w:p>
        </w:tc>
        <w:tc>
          <w:tcPr>
            <w:tcW w:w="4536" w:type="dxa"/>
            <w:vAlign w:val="top"/>
          </w:tcPr>
          <w:p w14:paraId="285C3C9F">
            <w:pPr>
              <w:spacing w:line="360" w:lineRule="auto"/>
              <w:rPr>
                <w:rFonts w:ascii="宋体" w:hAnsi="宋体"/>
                <w:color w:val="auto"/>
                <w:sz w:val="24"/>
                <w:highlight w:val="none"/>
                <w:u w:val="single"/>
              </w:rPr>
            </w:pPr>
            <w:r>
              <w:rPr>
                <w:rFonts w:hint="eastAsia" w:ascii="宋体" w:hAnsi="宋体"/>
                <w:bCs/>
                <w:color w:val="auto"/>
                <w:sz w:val="24"/>
                <w:highlight w:val="none"/>
              </w:rPr>
              <w:t>法定（授权）代表人：</w:t>
            </w:r>
          </w:p>
        </w:tc>
      </w:tr>
      <w:tr w14:paraId="7A687F2E">
        <w:tblPrEx>
          <w:tblCellMar>
            <w:top w:w="0" w:type="dxa"/>
            <w:left w:w="108" w:type="dxa"/>
            <w:bottom w:w="0" w:type="dxa"/>
            <w:right w:w="108" w:type="dxa"/>
          </w:tblCellMar>
        </w:tblPrEx>
        <w:trPr>
          <w:jc w:val="center"/>
        </w:trPr>
        <w:tc>
          <w:tcPr>
            <w:tcW w:w="4536" w:type="dxa"/>
            <w:vAlign w:val="top"/>
          </w:tcPr>
          <w:p w14:paraId="22FE62CA">
            <w:pPr>
              <w:spacing w:line="360" w:lineRule="auto"/>
              <w:jc w:val="right"/>
              <w:rPr>
                <w:rFonts w:ascii="宋体" w:hAnsi="宋体"/>
                <w:color w:val="auto"/>
                <w:sz w:val="24"/>
                <w:highlight w:val="none"/>
              </w:rPr>
            </w:pPr>
            <w:r>
              <w:rPr>
                <w:rFonts w:hint="eastAsia" w:ascii="宋体" w:hAnsi="宋体"/>
                <w:bCs/>
                <w:color w:val="auto"/>
                <w:sz w:val="24"/>
                <w:highlight w:val="none"/>
                <w:u w:val="single"/>
              </w:rPr>
              <w:t>　　　　　</w:t>
            </w:r>
            <w:r>
              <w:rPr>
                <w:rFonts w:hint="eastAsia" w:ascii="宋体" w:hAnsi="宋体"/>
                <w:bCs/>
                <w:color w:val="auto"/>
                <w:sz w:val="24"/>
                <w:highlight w:val="none"/>
              </w:rPr>
              <w:t>年</w:t>
            </w:r>
            <w:r>
              <w:rPr>
                <w:rFonts w:hint="eastAsia" w:ascii="宋体" w:hAnsi="宋体"/>
                <w:bCs/>
                <w:color w:val="auto"/>
                <w:sz w:val="24"/>
                <w:highlight w:val="none"/>
                <w:u w:val="single"/>
              </w:rPr>
              <w:t>　　　</w:t>
            </w:r>
            <w:r>
              <w:rPr>
                <w:rFonts w:hint="eastAsia" w:ascii="宋体" w:hAnsi="宋体"/>
                <w:bCs/>
                <w:color w:val="auto"/>
                <w:sz w:val="24"/>
                <w:highlight w:val="none"/>
              </w:rPr>
              <w:t>月</w:t>
            </w:r>
            <w:r>
              <w:rPr>
                <w:rFonts w:hint="eastAsia" w:ascii="宋体" w:hAnsi="宋体"/>
                <w:bCs/>
                <w:color w:val="auto"/>
                <w:sz w:val="24"/>
                <w:highlight w:val="none"/>
                <w:u w:val="single"/>
              </w:rPr>
              <w:t>　　　</w:t>
            </w:r>
            <w:r>
              <w:rPr>
                <w:rFonts w:hint="eastAsia" w:ascii="宋体" w:hAnsi="宋体"/>
                <w:bCs/>
                <w:color w:val="auto"/>
                <w:sz w:val="24"/>
                <w:highlight w:val="none"/>
              </w:rPr>
              <w:t>日</w:t>
            </w:r>
          </w:p>
        </w:tc>
        <w:tc>
          <w:tcPr>
            <w:tcW w:w="284" w:type="dxa"/>
            <w:vAlign w:val="top"/>
          </w:tcPr>
          <w:p w14:paraId="46BC77B6">
            <w:pPr>
              <w:spacing w:line="360" w:lineRule="auto"/>
              <w:rPr>
                <w:rFonts w:ascii="宋体" w:hAnsi="宋体"/>
                <w:color w:val="auto"/>
                <w:sz w:val="24"/>
                <w:highlight w:val="none"/>
              </w:rPr>
            </w:pPr>
          </w:p>
        </w:tc>
        <w:tc>
          <w:tcPr>
            <w:tcW w:w="4536" w:type="dxa"/>
            <w:vAlign w:val="top"/>
          </w:tcPr>
          <w:p w14:paraId="6E7DEFE5">
            <w:pPr>
              <w:spacing w:line="360" w:lineRule="auto"/>
              <w:jc w:val="right"/>
              <w:rPr>
                <w:rFonts w:ascii="宋体" w:hAnsi="宋体"/>
                <w:color w:val="auto"/>
                <w:sz w:val="24"/>
                <w:highlight w:val="none"/>
              </w:rPr>
            </w:pPr>
            <w:r>
              <w:rPr>
                <w:rFonts w:hint="eastAsia" w:ascii="宋体" w:hAnsi="宋体"/>
                <w:bCs/>
                <w:color w:val="auto"/>
                <w:sz w:val="24"/>
                <w:highlight w:val="none"/>
                <w:u w:val="single"/>
              </w:rPr>
              <w:t>　　　　　</w:t>
            </w:r>
            <w:r>
              <w:rPr>
                <w:rFonts w:hint="eastAsia" w:ascii="宋体" w:hAnsi="宋体"/>
                <w:bCs/>
                <w:color w:val="auto"/>
                <w:sz w:val="24"/>
                <w:highlight w:val="none"/>
              </w:rPr>
              <w:t>年</w:t>
            </w:r>
            <w:r>
              <w:rPr>
                <w:rFonts w:hint="eastAsia" w:ascii="宋体" w:hAnsi="宋体"/>
                <w:bCs/>
                <w:color w:val="auto"/>
                <w:sz w:val="24"/>
                <w:highlight w:val="none"/>
                <w:u w:val="single"/>
              </w:rPr>
              <w:t>　　　</w:t>
            </w:r>
            <w:r>
              <w:rPr>
                <w:rFonts w:hint="eastAsia" w:ascii="宋体" w:hAnsi="宋体"/>
                <w:bCs/>
                <w:color w:val="auto"/>
                <w:sz w:val="24"/>
                <w:highlight w:val="none"/>
              </w:rPr>
              <w:t>月</w:t>
            </w:r>
            <w:r>
              <w:rPr>
                <w:rFonts w:hint="eastAsia" w:ascii="宋体" w:hAnsi="宋体"/>
                <w:bCs/>
                <w:color w:val="auto"/>
                <w:sz w:val="24"/>
                <w:highlight w:val="none"/>
                <w:u w:val="single"/>
              </w:rPr>
              <w:t>　　　</w:t>
            </w:r>
            <w:r>
              <w:rPr>
                <w:rFonts w:hint="eastAsia" w:ascii="宋体" w:hAnsi="宋体"/>
                <w:bCs/>
                <w:color w:val="auto"/>
                <w:sz w:val="24"/>
                <w:highlight w:val="none"/>
              </w:rPr>
              <w:t>日</w:t>
            </w:r>
          </w:p>
        </w:tc>
      </w:tr>
      <w:tr w14:paraId="3C7DB892">
        <w:tblPrEx>
          <w:tblCellMar>
            <w:top w:w="0" w:type="dxa"/>
            <w:left w:w="108" w:type="dxa"/>
            <w:bottom w:w="0" w:type="dxa"/>
            <w:right w:w="108" w:type="dxa"/>
          </w:tblCellMar>
        </w:tblPrEx>
        <w:trPr>
          <w:jc w:val="center"/>
        </w:trPr>
        <w:tc>
          <w:tcPr>
            <w:tcW w:w="4536" w:type="dxa"/>
            <w:vAlign w:val="top"/>
          </w:tcPr>
          <w:p w14:paraId="531C8F18">
            <w:pPr>
              <w:spacing w:line="360" w:lineRule="auto"/>
              <w:rPr>
                <w:rFonts w:ascii="宋体" w:hAnsi="宋体"/>
                <w:color w:val="auto"/>
                <w:sz w:val="24"/>
                <w:highlight w:val="none"/>
              </w:rPr>
            </w:pPr>
          </w:p>
        </w:tc>
        <w:tc>
          <w:tcPr>
            <w:tcW w:w="284" w:type="dxa"/>
            <w:vAlign w:val="top"/>
          </w:tcPr>
          <w:p w14:paraId="5810B9CB">
            <w:pPr>
              <w:spacing w:line="360" w:lineRule="auto"/>
              <w:rPr>
                <w:rFonts w:ascii="宋体" w:hAnsi="宋体"/>
                <w:color w:val="auto"/>
                <w:sz w:val="24"/>
                <w:highlight w:val="none"/>
              </w:rPr>
            </w:pPr>
          </w:p>
        </w:tc>
        <w:tc>
          <w:tcPr>
            <w:tcW w:w="4536" w:type="dxa"/>
            <w:vAlign w:val="top"/>
          </w:tcPr>
          <w:p w14:paraId="5A0C62BF">
            <w:pPr>
              <w:spacing w:line="360" w:lineRule="auto"/>
              <w:rPr>
                <w:rFonts w:ascii="宋体" w:hAnsi="宋体"/>
                <w:color w:val="auto"/>
                <w:sz w:val="24"/>
                <w:highlight w:val="none"/>
              </w:rPr>
            </w:pPr>
          </w:p>
        </w:tc>
      </w:tr>
      <w:tr w14:paraId="476E55BF">
        <w:tblPrEx>
          <w:tblCellMar>
            <w:top w:w="0" w:type="dxa"/>
            <w:left w:w="108" w:type="dxa"/>
            <w:bottom w:w="0" w:type="dxa"/>
            <w:right w:w="108" w:type="dxa"/>
          </w:tblCellMar>
        </w:tblPrEx>
        <w:trPr>
          <w:jc w:val="center"/>
        </w:trPr>
        <w:tc>
          <w:tcPr>
            <w:tcW w:w="4536" w:type="dxa"/>
            <w:vAlign w:val="top"/>
          </w:tcPr>
          <w:p w14:paraId="539B31D8">
            <w:pPr>
              <w:spacing w:line="360" w:lineRule="auto"/>
              <w:rPr>
                <w:rFonts w:ascii="宋体" w:hAnsi="宋体"/>
                <w:bCs/>
                <w:color w:val="auto"/>
                <w:sz w:val="24"/>
                <w:highlight w:val="none"/>
              </w:rPr>
            </w:pPr>
            <w:r>
              <w:rPr>
                <w:rFonts w:hint="eastAsia" w:ascii="宋体" w:hAnsi="宋体"/>
                <w:bCs/>
                <w:color w:val="auto"/>
                <w:sz w:val="24"/>
                <w:highlight w:val="none"/>
              </w:rPr>
              <w:t>备案方：（盖章）</w:t>
            </w:r>
          </w:p>
        </w:tc>
        <w:tc>
          <w:tcPr>
            <w:tcW w:w="284" w:type="dxa"/>
            <w:vAlign w:val="top"/>
          </w:tcPr>
          <w:p w14:paraId="65EFBE98">
            <w:pPr>
              <w:spacing w:line="360" w:lineRule="auto"/>
              <w:rPr>
                <w:rFonts w:ascii="宋体" w:hAnsi="宋体"/>
                <w:color w:val="auto"/>
                <w:sz w:val="24"/>
                <w:highlight w:val="none"/>
              </w:rPr>
            </w:pPr>
          </w:p>
        </w:tc>
        <w:tc>
          <w:tcPr>
            <w:tcW w:w="4536" w:type="dxa"/>
            <w:vAlign w:val="top"/>
          </w:tcPr>
          <w:p w14:paraId="66203E00">
            <w:pPr>
              <w:spacing w:line="360" w:lineRule="auto"/>
              <w:rPr>
                <w:rFonts w:ascii="宋体" w:hAnsi="宋体"/>
                <w:bCs/>
                <w:color w:val="auto"/>
                <w:sz w:val="24"/>
                <w:highlight w:val="none"/>
              </w:rPr>
            </w:pPr>
          </w:p>
        </w:tc>
      </w:tr>
      <w:tr w14:paraId="777820EF">
        <w:tblPrEx>
          <w:tblCellMar>
            <w:top w:w="0" w:type="dxa"/>
            <w:left w:w="108" w:type="dxa"/>
            <w:bottom w:w="0" w:type="dxa"/>
            <w:right w:w="108" w:type="dxa"/>
          </w:tblCellMar>
        </w:tblPrEx>
        <w:trPr>
          <w:jc w:val="center"/>
        </w:trPr>
        <w:tc>
          <w:tcPr>
            <w:tcW w:w="4536" w:type="dxa"/>
            <w:vAlign w:val="top"/>
          </w:tcPr>
          <w:p w14:paraId="0F830498">
            <w:pPr>
              <w:spacing w:line="360" w:lineRule="auto"/>
              <w:rPr>
                <w:rFonts w:ascii="宋体" w:hAnsi="宋体"/>
                <w:color w:val="auto"/>
                <w:sz w:val="24"/>
                <w:highlight w:val="none"/>
              </w:rPr>
            </w:pPr>
            <w:r>
              <w:rPr>
                <w:rFonts w:hint="eastAsia" w:ascii="宋体" w:hAnsi="宋体"/>
                <w:bCs/>
                <w:color w:val="auto"/>
                <w:sz w:val="24"/>
                <w:highlight w:val="none"/>
              </w:rPr>
              <w:t>备案方代表：</w:t>
            </w:r>
            <w:r>
              <w:rPr>
                <w:rFonts w:hint="eastAsia" w:ascii="宋体" w:hAnsi="宋体"/>
                <w:bCs/>
                <w:color w:val="auto"/>
                <w:sz w:val="24"/>
                <w:highlight w:val="none"/>
                <w:u w:val="single"/>
              </w:rPr>
              <w:t xml:space="preserve">        　   　　       </w:t>
            </w:r>
          </w:p>
        </w:tc>
        <w:tc>
          <w:tcPr>
            <w:tcW w:w="284" w:type="dxa"/>
            <w:vAlign w:val="top"/>
          </w:tcPr>
          <w:p w14:paraId="4F2DA81A">
            <w:pPr>
              <w:spacing w:line="360" w:lineRule="auto"/>
              <w:rPr>
                <w:rFonts w:ascii="宋体" w:hAnsi="宋体"/>
                <w:color w:val="auto"/>
                <w:sz w:val="24"/>
                <w:highlight w:val="none"/>
              </w:rPr>
            </w:pPr>
          </w:p>
        </w:tc>
        <w:tc>
          <w:tcPr>
            <w:tcW w:w="4536" w:type="dxa"/>
            <w:vAlign w:val="top"/>
          </w:tcPr>
          <w:p w14:paraId="013F5ED6">
            <w:pPr>
              <w:spacing w:line="360" w:lineRule="auto"/>
              <w:rPr>
                <w:rFonts w:ascii="宋体" w:hAnsi="宋体"/>
                <w:color w:val="auto"/>
                <w:sz w:val="24"/>
                <w:highlight w:val="none"/>
              </w:rPr>
            </w:pPr>
          </w:p>
        </w:tc>
      </w:tr>
      <w:tr w14:paraId="455505B4">
        <w:tblPrEx>
          <w:tblCellMar>
            <w:top w:w="0" w:type="dxa"/>
            <w:left w:w="108" w:type="dxa"/>
            <w:bottom w:w="0" w:type="dxa"/>
            <w:right w:w="108" w:type="dxa"/>
          </w:tblCellMar>
        </w:tblPrEx>
        <w:trPr>
          <w:jc w:val="center"/>
        </w:trPr>
        <w:tc>
          <w:tcPr>
            <w:tcW w:w="4536" w:type="dxa"/>
            <w:vAlign w:val="top"/>
          </w:tcPr>
          <w:p w14:paraId="3B0F4E2E">
            <w:pPr>
              <w:spacing w:line="360" w:lineRule="auto"/>
              <w:jc w:val="right"/>
              <w:rPr>
                <w:rFonts w:ascii="宋体" w:hAnsi="宋体"/>
                <w:bCs/>
                <w:color w:val="auto"/>
                <w:sz w:val="24"/>
                <w:highlight w:val="none"/>
              </w:rPr>
            </w:pPr>
            <w:r>
              <w:rPr>
                <w:rFonts w:hint="eastAsia" w:ascii="宋体" w:hAnsi="宋体"/>
                <w:bCs/>
                <w:color w:val="auto"/>
                <w:sz w:val="24"/>
                <w:highlight w:val="none"/>
                <w:u w:val="single"/>
              </w:rPr>
              <w:t>　　　　　</w:t>
            </w:r>
            <w:r>
              <w:rPr>
                <w:rFonts w:hint="eastAsia" w:ascii="宋体" w:hAnsi="宋体"/>
                <w:bCs/>
                <w:color w:val="auto"/>
                <w:sz w:val="24"/>
                <w:highlight w:val="none"/>
              </w:rPr>
              <w:t>年</w:t>
            </w:r>
            <w:r>
              <w:rPr>
                <w:rFonts w:hint="eastAsia" w:ascii="宋体" w:hAnsi="宋体"/>
                <w:bCs/>
                <w:color w:val="auto"/>
                <w:sz w:val="24"/>
                <w:highlight w:val="none"/>
                <w:u w:val="single"/>
              </w:rPr>
              <w:t>　　　</w:t>
            </w:r>
            <w:r>
              <w:rPr>
                <w:rFonts w:hint="eastAsia" w:ascii="宋体" w:hAnsi="宋体"/>
                <w:bCs/>
                <w:color w:val="auto"/>
                <w:sz w:val="24"/>
                <w:highlight w:val="none"/>
              </w:rPr>
              <w:t>月</w:t>
            </w:r>
            <w:r>
              <w:rPr>
                <w:rFonts w:hint="eastAsia" w:ascii="宋体" w:hAnsi="宋体"/>
                <w:bCs/>
                <w:color w:val="auto"/>
                <w:sz w:val="24"/>
                <w:highlight w:val="none"/>
                <w:u w:val="single"/>
              </w:rPr>
              <w:t>　　　</w:t>
            </w:r>
            <w:r>
              <w:rPr>
                <w:rFonts w:hint="eastAsia" w:ascii="宋体" w:hAnsi="宋体"/>
                <w:bCs/>
                <w:color w:val="auto"/>
                <w:sz w:val="24"/>
                <w:highlight w:val="none"/>
              </w:rPr>
              <w:t>日</w:t>
            </w:r>
          </w:p>
        </w:tc>
        <w:tc>
          <w:tcPr>
            <w:tcW w:w="284" w:type="dxa"/>
            <w:vAlign w:val="top"/>
          </w:tcPr>
          <w:p w14:paraId="6F75FAAE">
            <w:pPr>
              <w:spacing w:line="360" w:lineRule="auto"/>
              <w:rPr>
                <w:rFonts w:ascii="宋体" w:hAnsi="宋体"/>
                <w:color w:val="auto"/>
                <w:sz w:val="24"/>
                <w:highlight w:val="none"/>
              </w:rPr>
            </w:pPr>
          </w:p>
        </w:tc>
        <w:tc>
          <w:tcPr>
            <w:tcW w:w="4536" w:type="dxa"/>
            <w:vAlign w:val="top"/>
          </w:tcPr>
          <w:p w14:paraId="0ADD3272">
            <w:pPr>
              <w:spacing w:line="360" w:lineRule="auto"/>
              <w:rPr>
                <w:rFonts w:ascii="宋体" w:hAnsi="宋体"/>
                <w:bCs/>
                <w:color w:val="auto"/>
                <w:sz w:val="24"/>
                <w:highlight w:val="none"/>
              </w:rPr>
            </w:pPr>
          </w:p>
        </w:tc>
      </w:tr>
      <w:tr w14:paraId="68F12619">
        <w:tblPrEx>
          <w:tblCellMar>
            <w:top w:w="0" w:type="dxa"/>
            <w:left w:w="108" w:type="dxa"/>
            <w:bottom w:w="0" w:type="dxa"/>
            <w:right w:w="108" w:type="dxa"/>
          </w:tblCellMar>
        </w:tblPrEx>
        <w:trPr>
          <w:trHeight w:val="493" w:hRule="atLeast"/>
          <w:jc w:val="center"/>
        </w:trPr>
        <w:tc>
          <w:tcPr>
            <w:tcW w:w="4536" w:type="dxa"/>
            <w:vAlign w:val="top"/>
          </w:tcPr>
          <w:p w14:paraId="2167CFBA">
            <w:pPr>
              <w:spacing w:line="360" w:lineRule="auto"/>
              <w:rPr>
                <w:rFonts w:ascii="宋体" w:hAnsi="宋体"/>
                <w:bCs/>
                <w:color w:val="auto"/>
                <w:sz w:val="24"/>
                <w:highlight w:val="none"/>
              </w:rPr>
            </w:pPr>
          </w:p>
        </w:tc>
        <w:tc>
          <w:tcPr>
            <w:tcW w:w="284" w:type="dxa"/>
            <w:vAlign w:val="top"/>
          </w:tcPr>
          <w:p w14:paraId="5A1134DA">
            <w:pPr>
              <w:spacing w:line="360" w:lineRule="auto"/>
              <w:rPr>
                <w:rFonts w:ascii="宋体" w:hAnsi="宋体"/>
                <w:color w:val="auto"/>
                <w:sz w:val="24"/>
                <w:highlight w:val="none"/>
              </w:rPr>
            </w:pPr>
          </w:p>
        </w:tc>
        <w:tc>
          <w:tcPr>
            <w:tcW w:w="4536" w:type="dxa"/>
            <w:vAlign w:val="top"/>
          </w:tcPr>
          <w:p w14:paraId="4E52A975">
            <w:pPr>
              <w:spacing w:line="360" w:lineRule="auto"/>
              <w:jc w:val="right"/>
              <w:rPr>
                <w:rFonts w:ascii="宋体" w:hAnsi="宋体"/>
                <w:bCs/>
                <w:color w:val="auto"/>
                <w:sz w:val="24"/>
                <w:highlight w:val="none"/>
              </w:rPr>
            </w:pPr>
          </w:p>
        </w:tc>
      </w:tr>
    </w:tbl>
    <w:p w14:paraId="69000762">
      <w:pPr>
        <w:rPr>
          <w:rFonts w:ascii="宋体" w:hAnsi="宋体"/>
          <w:color w:val="auto"/>
          <w:sz w:val="24"/>
          <w:szCs w:val="24"/>
          <w:highlight w:val="none"/>
        </w:rPr>
      </w:pPr>
    </w:p>
    <w:p w14:paraId="3510BD7D">
      <w:pPr>
        <w:pStyle w:val="54"/>
        <w:rPr>
          <w:rFonts w:ascii="宋体" w:hAnsi="宋体"/>
          <w:color w:val="auto"/>
          <w:sz w:val="24"/>
          <w:szCs w:val="24"/>
          <w:highlight w:val="none"/>
        </w:rPr>
      </w:pPr>
    </w:p>
    <w:p w14:paraId="6FE107FA">
      <w:pPr>
        <w:rPr>
          <w:rFonts w:ascii="宋体" w:hAnsi="宋体"/>
          <w:color w:val="auto"/>
          <w:sz w:val="24"/>
          <w:szCs w:val="24"/>
          <w:highlight w:val="none"/>
        </w:rPr>
      </w:pPr>
    </w:p>
    <w:p w14:paraId="60372F6C">
      <w:pPr>
        <w:pStyle w:val="2"/>
        <w:rPr>
          <w:rFonts w:ascii="宋体" w:hAnsi="宋体"/>
          <w:color w:val="auto"/>
          <w:sz w:val="24"/>
          <w:szCs w:val="24"/>
          <w:highlight w:val="none"/>
        </w:rPr>
      </w:pPr>
    </w:p>
    <w:p w14:paraId="79232F78">
      <w:pPr>
        <w:pStyle w:val="2"/>
        <w:rPr>
          <w:rFonts w:ascii="宋体" w:hAnsi="宋体"/>
          <w:color w:val="auto"/>
          <w:sz w:val="24"/>
          <w:szCs w:val="24"/>
          <w:highlight w:val="none"/>
        </w:rPr>
      </w:pPr>
    </w:p>
    <w:p w14:paraId="736FD4E6">
      <w:pPr>
        <w:pStyle w:val="2"/>
        <w:rPr>
          <w:rFonts w:ascii="宋体" w:hAnsi="宋体"/>
          <w:color w:val="auto"/>
          <w:sz w:val="24"/>
          <w:szCs w:val="24"/>
          <w:highlight w:val="none"/>
        </w:rPr>
      </w:pPr>
    </w:p>
    <w:p w14:paraId="26778C45">
      <w:pPr>
        <w:pStyle w:val="2"/>
        <w:rPr>
          <w:rFonts w:ascii="宋体" w:hAnsi="宋体"/>
          <w:color w:val="auto"/>
          <w:sz w:val="24"/>
          <w:szCs w:val="24"/>
          <w:highlight w:val="none"/>
        </w:rPr>
      </w:pPr>
    </w:p>
    <w:p w14:paraId="313F6BF3">
      <w:pPr>
        <w:pStyle w:val="2"/>
        <w:rPr>
          <w:rFonts w:ascii="宋体" w:hAnsi="宋体"/>
          <w:color w:val="auto"/>
          <w:sz w:val="24"/>
          <w:szCs w:val="24"/>
          <w:highlight w:val="none"/>
        </w:rPr>
      </w:pPr>
    </w:p>
    <w:p w14:paraId="6497F1F4">
      <w:pPr>
        <w:pStyle w:val="2"/>
        <w:rPr>
          <w:rFonts w:ascii="宋体" w:hAnsi="宋体"/>
          <w:color w:val="auto"/>
          <w:sz w:val="24"/>
          <w:szCs w:val="24"/>
          <w:highlight w:val="none"/>
        </w:rPr>
      </w:pPr>
    </w:p>
    <w:p w14:paraId="6ED50C25">
      <w:pPr>
        <w:pStyle w:val="2"/>
        <w:rPr>
          <w:rFonts w:ascii="宋体" w:hAnsi="宋体"/>
          <w:color w:val="auto"/>
          <w:sz w:val="24"/>
          <w:szCs w:val="24"/>
          <w:highlight w:val="none"/>
        </w:rPr>
      </w:pPr>
    </w:p>
    <w:p w14:paraId="24911498">
      <w:pPr>
        <w:pStyle w:val="2"/>
        <w:rPr>
          <w:rFonts w:ascii="宋体" w:hAnsi="宋体"/>
          <w:color w:val="auto"/>
          <w:sz w:val="24"/>
          <w:szCs w:val="24"/>
          <w:highlight w:val="none"/>
        </w:rPr>
      </w:pPr>
    </w:p>
    <w:p w14:paraId="53FEC69D">
      <w:pPr>
        <w:pStyle w:val="2"/>
        <w:rPr>
          <w:rFonts w:ascii="宋体" w:hAnsi="宋体"/>
          <w:color w:val="auto"/>
          <w:sz w:val="24"/>
          <w:szCs w:val="24"/>
          <w:highlight w:val="none"/>
        </w:rPr>
      </w:pPr>
    </w:p>
    <w:p w14:paraId="20E77F32">
      <w:pPr>
        <w:widowControl/>
        <w:spacing w:line="360" w:lineRule="auto"/>
        <w:rPr>
          <w:rFonts w:hint="eastAsia" w:ascii="宋体" w:hAnsi="宋体"/>
          <w:b/>
          <w:bCs/>
          <w:color w:val="auto"/>
          <w:sz w:val="24"/>
          <w:highlight w:val="none"/>
        </w:rPr>
      </w:pPr>
    </w:p>
    <w:p w14:paraId="43A6EFBF">
      <w:pPr>
        <w:keepNext w:val="0"/>
        <w:keepLines w:val="0"/>
        <w:pageBreakBefore/>
        <w:widowControl/>
        <w:kinsoku/>
        <w:wordWrap/>
        <w:overflowPunct/>
        <w:topLinePunct w:val="0"/>
        <w:autoSpaceDE/>
        <w:autoSpaceDN/>
        <w:bidi w:val="0"/>
        <w:adjustRightInd/>
        <w:snapToGrid/>
        <w:spacing w:line="360" w:lineRule="auto"/>
        <w:ind w:firstLine="482" w:firstLineChars="200"/>
        <w:textAlignment w:val="auto"/>
        <w:rPr>
          <w:rFonts w:ascii="宋体" w:hAnsi="宋体"/>
          <w:b/>
          <w:bCs/>
          <w:color w:val="auto"/>
          <w:sz w:val="24"/>
          <w:highlight w:val="none"/>
        </w:rPr>
      </w:pPr>
      <w:r>
        <w:rPr>
          <w:rFonts w:hint="eastAsia" w:ascii="宋体" w:hAnsi="宋体"/>
          <w:b/>
          <w:bCs/>
          <w:color w:val="auto"/>
          <w:sz w:val="24"/>
          <w:highlight w:val="none"/>
        </w:rPr>
        <w:t>附1：《廉洁从审承诺》</w:t>
      </w:r>
    </w:p>
    <w:p w14:paraId="68F45E09">
      <w:pPr>
        <w:pStyle w:val="2"/>
        <w:rPr>
          <w:rFonts w:hint="eastAsia"/>
          <w:color w:val="auto"/>
          <w:highlight w:val="none"/>
          <w:lang w:val="en-US" w:eastAsia="zh-CN"/>
        </w:rPr>
      </w:pPr>
    </w:p>
    <w:p w14:paraId="2DE2FEDD">
      <w:pPr>
        <w:spacing w:line="360" w:lineRule="auto"/>
        <w:ind w:firstLine="482" w:firstLineChars="200"/>
        <w:jc w:val="center"/>
        <w:rPr>
          <w:rFonts w:ascii="宋体" w:hAnsi="宋体"/>
          <w:b/>
          <w:bCs/>
          <w:color w:val="auto"/>
          <w:sz w:val="24"/>
          <w:highlight w:val="none"/>
        </w:rPr>
      </w:pPr>
      <w:r>
        <w:rPr>
          <w:rFonts w:hint="eastAsia" w:ascii="宋体" w:hAnsi="宋体"/>
          <w:b/>
          <w:bCs/>
          <w:color w:val="auto"/>
          <w:sz w:val="24"/>
          <w:highlight w:val="none"/>
        </w:rPr>
        <w:t>廉洁从审承诺书</w:t>
      </w:r>
    </w:p>
    <w:p w14:paraId="3FEDB00F">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为了认真做好征集人（</w:t>
      </w:r>
      <w:r>
        <w:rPr>
          <w:rFonts w:hint="eastAsia" w:ascii="宋体" w:hAnsi="宋体"/>
          <w:bCs/>
          <w:color w:val="auto"/>
          <w:sz w:val="24"/>
          <w:highlight w:val="none"/>
          <w:lang w:eastAsia="zh-CN"/>
        </w:rPr>
        <w:t>甲方</w:t>
      </w:r>
      <w:r>
        <w:rPr>
          <w:rFonts w:hint="eastAsia" w:ascii="宋体" w:hAnsi="宋体"/>
          <w:bCs/>
          <w:color w:val="auto"/>
          <w:sz w:val="24"/>
          <w:highlight w:val="none"/>
        </w:rPr>
        <w:t>）委托的</w:t>
      </w:r>
      <w:r>
        <w:rPr>
          <w:rFonts w:hint="eastAsia" w:ascii="宋体" w:hAnsi="宋体"/>
          <w:bCs/>
          <w:color w:val="auto"/>
          <w:sz w:val="24"/>
          <w:highlight w:val="none"/>
          <w:lang w:eastAsia="zh-CN"/>
        </w:rPr>
        <w:t>市级</w:t>
      </w:r>
      <w:r>
        <w:rPr>
          <w:rFonts w:hint="eastAsia" w:ascii="宋体" w:hAnsi="宋体"/>
          <w:bCs/>
          <w:color w:val="auto"/>
          <w:sz w:val="24"/>
          <w:highlight w:val="none"/>
        </w:rPr>
        <w:t>投资项目协审，规范审计从业行为，确保我单位工作人员在项目审计过程中正确行使权力，恪守审计职业道德，严格执行审计工作纪律，我单位及所属工作人员郑重承诺如下：</w:t>
      </w:r>
    </w:p>
    <w:p w14:paraId="214F0333">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1、不接受建设项目相关单位的礼品、礼金和各种有价证券。</w:t>
      </w:r>
    </w:p>
    <w:p w14:paraId="6DBCBF4B">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2、不参加建设项目相关单位安排的旅游、娱乐、宴请等活动。</w:t>
      </w:r>
    </w:p>
    <w:p w14:paraId="1337F8B1">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3、不无偿使用建设项目相关单位的交通工具和通讯工具。</w:t>
      </w:r>
    </w:p>
    <w:p w14:paraId="38C2B92E">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 xml:space="preserve">4、不借用建设项目相关单位的财物和在建设项目相关单位报销任何因公、因私的费用。  </w:t>
      </w:r>
    </w:p>
    <w:p w14:paraId="35E769B7">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 xml:space="preserve">5、不向建设项目相关单位推销商品或介绍业务。 </w:t>
      </w:r>
    </w:p>
    <w:p w14:paraId="233E0CC5">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6、不向建设项目相关单位提出与审计工作无关的要求。</w:t>
      </w:r>
    </w:p>
    <w:p w14:paraId="3D36953B">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 xml:space="preserve">7、如与被审计事项有利害关系的，主动申请回避。 </w:t>
      </w:r>
    </w:p>
    <w:p w14:paraId="49260E56">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8、不利用审计职权或知晓的建设项目相关单位的商业秘密和内部信息，为自己和他人谋利。</w:t>
      </w:r>
    </w:p>
    <w:p w14:paraId="21066A1A">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 xml:space="preserve">9、不与建设项目相关单位私自联系，不与建设项目相关单位单独商谈审计组提出的审计事项处理意见。 </w:t>
      </w:r>
    </w:p>
    <w:p w14:paraId="651011B4">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10、不与建设项目相关单位串通舞弊，不隐瞒或变更审计中发现的问题，不提交内容虚假的审计报告。</w:t>
      </w:r>
    </w:p>
    <w:p w14:paraId="1AA5C7F4">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我单位及所属工作人员如违反《廉洁从审承诺》，将接受按有关规定进行的一切处理、处罚和责任追究。</w:t>
      </w:r>
    </w:p>
    <w:p w14:paraId="73A9E3D0">
      <w:pPr>
        <w:spacing w:line="360" w:lineRule="auto"/>
        <w:ind w:firstLine="2870" w:firstLineChars="1196"/>
        <w:rPr>
          <w:rFonts w:ascii="宋体" w:hAnsi="宋体"/>
          <w:bCs/>
          <w:color w:val="auto"/>
          <w:sz w:val="24"/>
          <w:highlight w:val="none"/>
        </w:rPr>
      </w:pPr>
    </w:p>
    <w:p w14:paraId="62B30A27">
      <w:pPr>
        <w:spacing w:line="360" w:lineRule="auto"/>
        <w:ind w:firstLine="2870" w:firstLineChars="1196"/>
        <w:rPr>
          <w:rFonts w:ascii="宋体" w:hAnsi="宋体"/>
          <w:bCs/>
          <w:color w:val="auto"/>
          <w:sz w:val="24"/>
          <w:highlight w:val="none"/>
        </w:rPr>
      </w:pPr>
    </w:p>
    <w:p w14:paraId="735692DA">
      <w:pPr>
        <w:spacing w:line="360" w:lineRule="auto"/>
        <w:ind w:firstLine="2870" w:firstLineChars="1196"/>
        <w:rPr>
          <w:rFonts w:ascii="宋体" w:hAnsi="宋体"/>
          <w:bCs/>
          <w:color w:val="auto"/>
          <w:sz w:val="24"/>
          <w:highlight w:val="none"/>
        </w:rPr>
      </w:pPr>
      <w:r>
        <w:rPr>
          <w:rFonts w:hint="eastAsia" w:ascii="宋体" w:hAnsi="宋体"/>
          <w:bCs/>
          <w:color w:val="auto"/>
          <w:sz w:val="24"/>
          <w:highlight w:val="none"/>
        </w:rPr>
        <w:t>承诺人（盖章）：</w:t>
      </w:r>
    </w:p>
    <w:p w14:paraId="6216892D">
      <w:pPr>
        <w:spacing w:line="360" w:lineRule="auto"/>
        <w:ind w:firstLine="952" w:firstLineChars="397"/>
        <w:rPr>
          <w:rFonts w:ascii="宋体" w:hAnsi="宋体"/>
          <w:bCs/>
          <w:color w:val="auto"/>
          <w:sz w:val="24"/>
          <w:highlight w:val="none"/>
        </w:rPr>
      </w:pPr>
      <w:r>
        <w:rPr>
          <w:rFonts w:hint="eastAsia" w:ascii="宋体" w:hAnsi="宋体"/>
          <w:bCs/>
          <w:color w:val="auto"/>
          <w:sz w:val="24"/>
          <w:highlight w:val="none"/>
        </w:rPr>
        <w:t>法定代表人或授权委托人（签字）：</w:t>
      </w:r>
    </w:p>
    <w:p w14:paraId="224C93FD">
      <w:pPr>
        <w:spacing w:line="360" w:lineRule="auto"/>
        <w:ind w:firstLine="4320" w:firstLineChars="1800"/>
        <w:jc w:val="center"/>
        <w:rPr>
          <w:rFonts w:ascii="宋体" w:hAnsi="宋体"/>
          <w:bCs/>
          <w:color w:val="auto"/>
          <w:sz w:val="24"/>
          <w:highlight w:val="none"/>
        </w:rPr>
      </w:pPr>
    </w:p>
    <w:p w14:paraId="0030615B">
      <w:pPr>
        <w:spacing w:line="360" w:lineRule="auto"/>
        <w:ind w:firstLine="4320" w:firstLineChars="1800"/>
        <w:jc w:val="center"/>
        <w:rPr>
          <w:rFonts w:hint="eastAsia" w:ascii="黑体" w:hAnsi="黑体" w:eastAsia="黑体"/>
          <w:bCs/>
          <w:color w:val="auto"/>
          <w:sz w:val="30"/>
          <w:szCs w:val="30"/>
          <w:highlight w:val="none"/>
          <w:lang w:val="en-US" w:eastAsia="zh-CN"/>
        </w:rPr>
      </w:pPr>
      <w:r>
        <w:rPr>
          <w:rFonts w:hint="eastAsia" w:ascii="宋体" w:hAnsi="宋体"/>
          <w:bCs/>
          <w:color w:val="auto"/>
          <w:sz w:val="24"/>
          <w:highlight w:val="none"/>
        </w:rPr>
        <w:fldChar w:fldCharType="begin"/>
      </w:r>
      <w:r>
        <w:rPr>
          <w:rFonts w:hint="eastAsia" w:ascii="宋体" w:hAnsi="宋体"/>
          <w:bCs/>
          <w:color w:val="auto"/>
          <w:sz w:val="24"/>
          <w:highlight w:val="none"/>
        </w:rPr>
        <w:instrText xml:space="preserve"> MERGEFIELD "签订日期"</w:instrText>
      </w:r>
      <w:r>
        <w:rPr>
          <w:rFonts w:hint="eastAsia" w:ascii="宋体" w:hAnsi="宋体" w:cs="Arial"/>
          <w:color w:val="auto"/>
          <w:sz w:val="24"/>
          <w:highlight w:val="none"/>
        </w:rPr>
        <w:instrText xml:space="preserve">\@"YYYY年MM月DD日"</w:instrText>
      </w:r>
      <w:r>
        <w:rPr>
          <w:rFonts w:hint="eastAsia" w:ascii="宋体" w:hAnsi="宋体"/>
          <w:bCs/>
          <w:color w:val="auto"/>
          <w:sz w:val="24"/>
          <w:highlight w:val="none"/>
        </w:rPr>
        <w:fldChar w:fldCharType="separate"/>
      </w:r>
      <w:r>
        <w:rPr>
          <w:rFonts w:hint="eastAsia" w:ascii="宋体" w:hAnsi="宋体"/>
          <w:bCs/>
          <w:color w:val="auto"/>
          <w:sz w:val="24"/>
          <w:highlight w:val="none"/>
        </w:rPr>
        <w:t>年  月  日</w:t>
      </w:r>
      <w:r>
        <w:rPr>
          <w:rFonts w:hint="eastAsia" w:ascii="宋体" w:hAnsi="宋体"/>
          <w:bCs/>
          <w:color w:val="auto"/>
          <w:sz w:val="24"/>
          <w:highlight w:val="none"/>
        </w:rPr>
        <w:fldChar w:fldCharType="end"/>
      </w:r>
    </w:p>
    <w:p w14:paraId="0C671BA2">
      <w:pPr>
        <w:keepNext w:val="0"/>
        <w:keepLines w:val="0"/>
        <w:pageBreakBefore/>
        <w:widowControl w:val="0"/>
        <w:kinsoku/>
        <w:wordWrap/>
        <w:overflowPunct/>
        <w:topLinePunct w:val="0"/>
        <w:autoSpaceDE/>
        <w:autoSpaceDN/>
        <w:bidi w:val="0"/>
        <w:adjustRightInd/>
        <w:snapToGrid/>
        <w:jc w:val="center"/>
        <w:textAlignment w:val="auto"/>
        <w:outlineLvl w:val="0"/>
        <w:rPr>
          <w:rFonts w:hint="eastAsia" w:ascii="黑体" w:hAnsi="黑体" w:eastAsia="黑体"/>
          <w:color w:val="auto"/>
          <w:sz w:val="28"/>
          <w:highlight w:val="none"/>
        </w:rPr>
      </w:pPr>
      <w:bookmarkStart w:id="25" w:name="_Toc22972"/>
      <w:bookmarkStart w:id="26" w:name="_Toc526779129"/>
      <w:r>
        <w:rPr>
          <w:rFonts w:hint="eastAsia" w:ascii="黑体" w:hAnsi="Calibri" w:eastAsia="黑体" w:cs="Times New Roman"/>
          <w:bCs/>
          <w:color w:val="auto"/>
          <w:sz w:val="30"/>
          <w:szCs w:val="30"/>
          <w:highlight w:val="none"/>
          <w:lang w:val="en-US" w:eastAsia="zh-CN"/>
        </w:rPr>
        <w:t>政府采购合同文本</w:t>
      </w:r>
      <w:r>
        <w:rPr>
          <w:rFonts w:hint="eastAsia" w:ascii="黑体" w:hAnsi="黑体" w:eastAsia="黑体"/>
          <w:color w:val="auto"/>
          <w:sz w:val="28"/>
          <w:highlight w:val="none"/>
        </w:rPr>
        <w:t>（格式）</w:t>
      </w:r>
      <w:bookmarkEnd w:id="25"/>
      <w:bookmarkEnd w:id="26"/>
    </w:p>
    <w:p w14:paraId="66323389">
      <w:pPr>
        <w:pStyle w:val="51"/>
        <w:ind w:firstLine="0"/>
        <w:jc w:val="right"/>
        <w:rPr>
          <w:rFonts w:hint="eastAsia" w:hAnsi="宋体" w:cs="宋体"/>
          <w:b/>
          <w:color w:val="auto"/>
          <w:sz w:val="28"/>
          <w:szCs w:val="28"/>
          <w:highlight w:val="none"/>
          <w:lang w:val="zh-CN"/>
        </w:rPr>
      </w:pPr>
    </w:p>
    <w:p w14:paraId="28B51998">
      <w:pPr>
        <w:pStyle w:val="51"/>
        <w:ind w:firstLine="0"/>
        <w:jc w:val="right"/>
        <w:rPr>
          <w:rFonts w:hint="eastAsia" w:hAnsi="宋体" w:cs="宋体"/>
          <w:color w:val="auto"/>
          <w:szCs w:val="24"/>
          <w:highlight w:val="none"/>
        </w:rPr>
      </w:pPr>
    </w:p>
    <w:p w14:paraId="74D22935">
      <w:pPr>
        <w:pStyle w:val="51"/>
        <w:ind w:firstLine="0"/>
        <w:rPr>
          <w:rFonts w:hint="eastAsia" w:hAnsi="宋体" w:cs="宋体"/>
          <w:color w:val="auto"/>
          <w:szCs w:val="24"/>
          <w:highlight w:val="none"/>
        </w:rPr>
      </w:pPr>
    </w:p>
    <w:p w14:paraId="5853DDED">
      <w:pPr>
        <w:pStyle w:val="51"/>
        <w:ind w:firstLine="0"/>
        <w:rPr>
          <w:rFonts w:hint="eastAsia" w:hAnsi="宋体" w:cs="宋体"/>
          <w:color w:val="auto"/>
          <w:szCs w:val="24"/>
          <w:highlight w:val="none"/>
        </w:rPr>
      </w:pPr>
    </w:p>
    <w:p w14:paraId="617ED0BA">
      <w:pPr>
        <w:pStyle w:val="51"/>
        <w:ind w:firstLine="0"/>
        <w:jc w:val="center"/>
        <w:rPr>
          <w:rFonts w:hint="eastAsia" w:hAnsi="宋体" w:cs="宋体"/>
          <w:b/>
          <w:color w:val="auto"/>
          <w:szCs w:val="24"/>
          <w:highlight w:val="none"/>
        </w:rPr>
      </w:pPr>
      <w:r>
        <w:rPr>
          <w:rFonts w:hint="eastAsia" w:hAnsi="宋体" w:cs="宋体"/>
          <w:b/>
          <w:color w:val="auto"/>
          <w:szCs w:val="24"/>
          <w:highlight w:val="none"/>
        </w:rPr>
        <w:t>第一部分 合同书</w:t>
      </w:r>
    </w:p>
    <w:p w14:paraId="09A35174">
      <w:pPr>
        <w:pStyle w:val="51"/>
        <w:ind w:firstLine="0"/>
        <w:rPr>
          <w:rFonts w:hint="eastAsia" w:hAnsi="宋体" w:cs="宋体"/>
          <w:color w:val="auto"/>
          <w:szCs w:val="24"/>
          <w:highlight w:val="none"/>
        </w:rPr>
      </w:pPr>
    </w:p>
    <w:p w14:paraId="2AE13DDC">
      <w:pPr>
        <w:pStyle w:val="51"/>
        <w:ind w:firstLine="0"/>
        <w:rPr>
          <w:rFonts w:hint="eastAsia" w:hAnsi="宋体" w:cs="宋体"/>
          <w:color w:val="auto"/>
          <w:szCs w:val="24"/>
          <w:highlight w:val="none"/>
        </w:rPr>
      </w:pPr>
    </w:p>
    <w:p w14:paraId="75636E36">
      <w:pPr>
        <w:spacing w:line="22" w:lineRule="atLeast"/>
        <w:rPr>
          <w:rFonts w:hint="eastAsia" w:ascii="宋体" w:hAnsi="宋体" w:cs="宋体"/>
          <w:color w:val="auto"/>
          <w:sz w:val="24"/>
          <w:highlight w:val="none"/>
        </w:rPr>
      </w:pPr>
    </w:p>
    <w:p w14:paraId="18D1371F">
      <w:pPr>
        <w:spacing w:line="22" w:lineRule="atLeast"/>
        <w:ind w:left="960"/>
        <w:rPr>
          <w:rFonts w:hint="eastAsia"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p>
    <w:p w14:paraId="11B1C6CD">
      <w:pPr>
        <w:pStyle w:val="52"/>
        <w:spacing w:line="22" w:lineRule="atLeast"/>
        <w:rPr>
          <w:rFonts w:hint="eastAsia" w:ascii="宋体" w:hAnsi="宋体" w:eastAsia="宋体" w:cs="宋体"/>
          <w:color w:val="auto"/>
          <w:szCs w:val="24"/>
          <w:highlight w:val="none"/>
        </w:rPr>
      </w:pPr>
    </w:p>
    <w:p w14:paraId="112F9292">
      <w:pPr>
        <w:pStyle w:val="52"/>
        <w:spacing w:line="22" w:lineRule="atLeast"/>
        <w:rPr>
          <w:rFonts w:hint="eastAsia" w:ascii="宋体" w:hAnsi="宋体" w:eastAsia="宋体" w:cs="宋体"/>
          <w:color w:val="auto"/>
          <w:szCs w:val="24"/>
          <w:highlight w:val="none"/>
        </w:rPr>
      </w:pPr>
      <w:r>
        <w:rPr>
          <w:rFonts w:hint="eastAsia" w:ascii="宋体" w:hAnsi="宋体" w:eastAsia="宋体" w:cs="宋体"/>
          <w:bCs/>
          <w:color w:val="auto"/>
          <w:highlight w:val="none"/>
        </w:rPr>
        <w:t xml:space="preserve">        项目编号：</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u w:val="single"/>
          <w:lang w:val="en-US" w:eastAsia="zh-CN"/>
        </w:rPr>
        <w:t xml:space="preserve">                </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 xml:space="preserve">       </w:t>
      </w:r>
    </w:p>
    <w:p w14:paraId="14D9209D">
      <w:pPr>
        <w:rPr>
          <w:rFonts w:hint="eastAsia" w:ascii="宋体" w:hAnsi="宋体" w:cs="宋体"/>
          <w:color w:val="auto"/>
          <w:highlight w:val="none"/>
        </w:rPr>
      </w:pPr>
    </w:p>
    <w:p w14:paraId="6BB8ED32">
      <w:pPr>
        <w:spacing w:line="22" w:lineRule="atLeast"/>
        <w:ind w:left="960"/>
        <w:rPr>
          <w:rFonts w:hint="eastAsia" w:ascii="宋体" w:hAnsi="宋体" w:cs="宋体"/>
          <w:color w:val="auto"/>
          <w:sz w:val="24"/>
          <w:highlight w:val="none"/>
          <w:u w:val="single"/>
        </w:rPr>
      </w:pPr>
      <w:r>
        <w:rPr>
          <w:rFonts w:hint="eastAsia" w:ascii="宋体" w:hAnsi="宋体" w:cs="宋体"/>
          <w:color w:val="auto"/>
          <w:sz w:val="24"/>
          <w:highlight w:val="none"/>
        </w:rPr>
        <w:t>甲方：</w:t>
      </w:r>
      <w:r>
        <w:rPr>
          <w:rFonts w:hint="eastAsia" w:ascii="宋体" w:hAnsi="宋体" w:cs="宋体"/>
          <w:color w:val="auto"/>
          <w:sz w:val="24"/>
          <w:highlight w:val="none"/>
          <w:u w:val="single"/>
        </w:rPr>
        <w:t xml:space="preserve">                                       </w:t>
      </w:r>
    </w:p>
    <w:p w14:paraId="33223751">
      <w:pPr>
        <w:spacing w:line="22" w:lineRule="atLeast"/>
        <w:rPr>
          <w:rFonts w:hint="eastAsia" w:ascii="宋体" w:hAnsi="宋体" w:cs="宋体"/>
          <w:color w:val="auto"/>
          <w:sz w:val="24"/>
          <w:highlight w:val="none"/>
        </w:rPr>
      </w:pPr>
    </w:p>
    <w:p w14:paraId="35A9E730">
      <w:pPr>
        <w:spacing w:line="22" w:lineRule="atLeast"/>
        <w:ind w:left="960"/>
        <w:rPr>
          <w:rFonts w:hint="eastAsia" w:ascii="宋体" w:hAnsi="宋体" w:cs="宋体"/>
          <w:color w:val="auto"/>
          <w:sz w:val="24"/>
          <w:highlight w:val="none"/>
          <w:u w:val="single"/>
        </w:rPr>
      </w:pPr>
      <w:r>
        <w:rPr>
          <w:rFonts w:hint="eastAsia" w:ascii="宋体" w:hAnsi="宋体" w:cs="宋体"/>
          <w:color w:val="auto"/>
          <w:sz w:val="24"/>
          <w:highlight w:val="none"/>
        </w:rPr>
        <w:t>乙方：</w:t>
      </w:r>
      <w:r>
        <w:rPr>
          <w:rFonts w:hint="eastAsia" w:ascii="宋体" w:hAnsi="宋体" w:cs="宋体"/>
          <w:color w:val="auto"/>
          <w:sz w:val="24"/>
          <w:highlight w:val="none"/>
          <w:u w:val="single"/>
        </w:rPr>
        <w:t xml:space="preserve">                                       </w:t>
      </w:r>
    </w:p>
    <w:p w14:paraId="72E4D9BC">
      <w:pPr>
        <w:spacing w:line="22" w:lineRule="atLeast"/>
        <w:rPr>
          <w:rFonts w:hint="eastAsia" w:ascii="宋体" w:hAnsi="宋体" w:cs="宋体"/>
          <w:color w:val="auto"/>
          <w:sz w:val="24"/>
          <w:highlight w:val="none"/>
        </w:rPr>
      </w:pPr>
    </w:p>
    <w:p w14:paraId="62ED97AE">
      <w:pPr>
        <w:spacing w:line="22" w:lineRule="atLeast"/>
        <w:ind w:firstLine="960" w:firstLineChars="400"/>
        <w:rPr>
          <w:rFonts w:hint="eastAsia" w:ascii="宋体" w:hAnsi="宋体" w:cs="宋体"/>
          <w:color w:val="auto"/>
          <w:sz w:val="24"/>
          <w:highlight w:val="none"/>
          <w:u w:val="single"/>
        </w:rPr>
      </w:pPr>
      <w:r>
        <w:rPr>
          <w:rFonts w:hint="eastAsia" w:ascii="宋体" w:hAnsi="宋体" w:cs="宋体"/>
          <w:color w:val="auto"/>
          <w:sz w:val="24"/>
          <w:highlight w:val="none"/>
        </w:rPr>
        <w:t>签订地：</w:t>
      </w:r>
      <w:r>
        <w:rPr>
          <w:rFonts w:hint="eastAsia" w:ascii="宋体" w:hAnsi="宋体" w:cs="宋体"/>
          <w:color w:val="auto"/>
          <w:sz w:val="24"/>
          <w:highlight w:val="none"/>
          <w:u w:val="single"/>
        </w:rPr>
        <w:t xml:space="preserve">                                     </w:t>
      </w:r>
    </w:p>
    <w:p w14:paraId="5CCC1D86">
      <w:pPr>
        <w:spacing w:line="22" w:lineRule="atLeast"/>
        <w:rPr>
          <w:rFonts w:hint="eastAsia" w:ascii="宋体" w:hAnsi="宋体" w:cs="宋体"/>
          <w:color w:val="auto"/>
          <w:sz w:val="24"/>
          <w:highlight w:val="none"/>
        </w:rPr>
      </w:pPr>
    </w:p>
    <w:p w14:paraId="7F7F7CB3">
      <w:pPr>
        <w:spacing w:line="56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    签订日期：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0C02FC35">
      <w:pPr>
        <w:spacing w:line="560" w:lineRule="exact"/>
        <w:ind w:firstLine="480" w:firstLineChars="200"/>
        <w:rPr>
          <w:rFonts w:hint="eastAsia" w:ascii="宋体" w:hAnsi="宋体" w:cs="宋体"/>
          <w:color w:val="auto"/>
          <w:sz w:val="24"/>
          <w:highlight w:val="none"/>
        </w:rPr>
      </w:pPr>
    </w:p>
    <w:p w14:paraId="3B49E2CE">
      <w:pPr>
        <w:spacing w:line="560" w:lineRule="exact"/>
        <w:ind w:firstLine="480" w:firstLineChars="200"/>
        <w:rPr>
          <w:rFonts w:hint="eastAsia" w:ascii="宋体" w:hAnsi="宋体" w:cs="宋体"/>
          <w:color w:val="auto"/>
          <w:sz w:val="24"/>
          <w:highlight w:val="none"/>
        </w:rPr>
      </w:pPr>
    </w:p>
    <w:p w14:paraId="11786722">
      <w:pPr>
        <w:spacing w:line="560" w:lineRule="exact"/>
        <w:ind w:firstLine="480" w:firstLineChars="200"/>
        <w:rPr>
          <w:rFonts w:hint="eastAsia" w:ascii="宋体" w:hAnsi="宋体" w:cs="宋体"/>
          <w:color w:val="auto"/>
          <w:sz w:val="24"/>
          <w:highlight w:val="none"/>
        </w:rPr>
      </w:pPr>
    </w:p>
    <w:p w14:paraId="3E951D7F">
      <w:pPr>
        <w:spacing w:line="560" w:lineRule="exact"/>
        <w:ind w:firstLine="480" w:firstLineChars="200"/>
        <w:rPr>
          <w:rFonts w:hint="eastAsia" w:ascii="宋体" w:hAnsi="宋体" w:cs="宋体"/>
          <w:color w:val="auto"/>
          <w:sz w:val="24"/>
          <w:highlight w:val="none"/>
        </w:rPr>
      </w:pPr>
    </w:p>
    <w:p w14:paraId="1BB7D209">
      <w:pPr>
        <w:spacing w:line="560" w:lineRule="exact"/>
        <w:ind w:firstLine="480" w:firstLineChars="200"/>
        <w:rPr>
          <w:rFonts w:hint="eastAsia" w:ascii="宋体" w:hAnsi="宋体" w:cs="宋体"/>
          <w:color w:val="auto"/>
          <w:sz w:val="24"/>
          <w:highlight w:val="none"/>
        </w:rPr>
      </w:pPr>
    </w:p>
    <w:p w14:paraId="557CADCD">
      <w:pPr>
        <w:spacing w:line="560" w:lineRule="exact"/>
        <w:ind w:firstLine="480" w:firstLineChars="200"/>
        <w:rPr>
          <w:rFonts w:hint="eastAsia" w:ascii="宋体" w:hAnsi="宋体" w:cs="宋体"/>
          <w:color w:val="auto"/>
          <w:sz w:val="24"/>
          <w:highlight w:val="none"/>
        </w:rPr>
      </w:pPr>
    </w:p>
    <w:p w14:paraId="0BD2ED41">
      <w:pPr>
        <w:spacing w:line="560" w:lineRule="exact"/>
        <w:ind w:firstLine="480" w:firstLineChars="200"/>
        <w:rPr>
          <w:rFonts w:hint="eastAsia" w:ascii="宋体" w:hAnsi="宋体" w:cs="宋体"/>
          <w:color w:val="auto"/>
          <w:sz w:val="24"/>
          <w:highlight w:val="none"/>
        </w:rPr>
      </w:pPr>
    </w:p>
    <w:p w14:paraId="09F99E36">
      <w:pPr>
        <w:spacing w:line="560" w:lineRule="exact"/>
        <w:ind w:firstLine="480" w:firstLineChars="200"/>
        <w:rPr>
          <w:rFonts w:hint="eastAsia" w:ascii="宋体" w:hAnsi="宋体" w:cs="宋体"/>
          <w:color w:val="auto"/>
          <w:sz w:val="24"/>
          <w:highlight w:val="none"/>
        </w:rPr>
      </w:pPr>
    </w:p>
    <w:p w14:paraId="317F8B1C">
      <w:pPr>
        <w:spacing w:line="560" w:lineRule="exact"/>
        <w:ind w:firstLine="480" w:firstLineChars="200"/>
        <w:rPr>
          <w:rFonts w:hint="eastAsia" w:ascii="宋体" w:hAnsi="宋体" w:cs="宋体"/>
          <w:color w:val="auto"/>
          <w:sz w:val="24"/>
          <w:highlight w:val="none"/>
        </w:rPr>
      </w:pPr>
    </w:p>
    <w:p w14:paraId="15DF0DCF">
      <w:pPr>
        <w:spacing w:line="560" w:lineRule="exact"/>
        <w:ind w:firstLine="480" w:firstLineChars="200"/>
        <w:rPr>
          <w:rFonts w:hint="eastAsia" w:ascii="宋体" w:hAnsi="宋体" w:cs="宋体"/>
          <w:color w:val="auto"/>
          <w:sz w:val="24"/>
          <w:highlight w:val="none"/>
        </w:rPr>
      </w:pPr>
    </w:p>
    <w:p w14:paraId="7515251E">
      <w:pPr>
        <w:spacing w:line="560" w:lineRule="exact"/>
        <w:ind w:firstLine="480" w:firstLineChars="200"/>
        <w:rPr>
          <w:rFonts w:hint="eastAsia" w:ascii="宋体" w:hAnsi="宋体" w:cs="宋体"/>
          <w:color w:val="auto"/>
          <w:sz w:val="24"/>
          <w:highlight w:val="none"/>
        </w:rPr>
      </w:pPr>
    </w:p>
    <w:p w14:paraId="7D321E33">
      <w:pPr>
        <w:spacing w:line="560" w:lineRule="exact"/>
        <w:ind w:firstLine="480" w:firstLineChars="200"/>
        <w:rPr>
          <w:rFonts w:hint="eastAsia" w:ascii="宋体" w:hAnsi="宋体" w:cs="宋体"/>
          <w:color w:val="auto"/>
          <w:sz w:val="24"/>
          <w:highlight w:val="none"/>
        </w:rPr>
      </w:pPr>
    </w:p>
    <w:p w14:paraId="60E9DB9A">
      <w:pPr>
        <w:spacing w:line="560" w:lineRule="exact"/>
        <w:ind w:firstLine="480" w:firstLineChars="200"/>
        <w:rPr>
          <w:rFonts w:hint="eastAsia" w:ascii="宋体" w:hAnsi="宋体" w:cs="宋体"/>
          <w:color w:val="auto"/>
          <w:sz w:val="24"/>
          <w:highlight w:val="none"/>
        </w:rPr>
      </w:pPr>
    </w:p>
    <w:p w14:paraId="5782C766">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年</w:t>
      </w: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月</w:t>
      </w: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日</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宜兴市财政局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以</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封闭式框架协议</w:t>
      </w:r>
      <w:r>
        <w:rPr>
          <w:rFonts w:hint="eastAsia" w:ascii="宋体" w:hAnsi="宋体" w:cs="宋体"/>
          <w:color w:val="auto"/>
          <w:sz w:val="24"/>
          <w:highlight w:val="none"/>
          <w:u w:val="single"/>
        </w:rPr>
        <w:t xml:space="preserve">的采购方式 </w:t>
      </w:r>
      <w:r>
        <w:rPr>
          <w:rFonts w:hint="eastAsia" w:ascii="宋体" w:hAnsi="宋体" w:cs="宋体"/>
          <w:color w:val="auto"/>
          <w:sz w:val="24"/>
          <w:highlight w:val="none"/>
        </w:rPr>
        <w:t>对</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宜兴市财政局2024-2025年度宜兴市市级投资项目审核咨询服务框架协议</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进行了采购。经评标委员会评审，</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宜兴市财政局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确定 </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eastAsia="zh-CN"/>
        </w:rPr>
        <w:t>入围供应商</w:t>
      </w:r>
      <w:r>
        <w:rPr>
          <w:rFonts w:hint="eastAsia" w:ascii="宋体" w:hAnsi="宋体" w:cs="宋体"/>
          <w:color w:val="auto"/>
          <w:sz w:val="24"/>
          <w:highlight w:val="none"/>
          <w:u w:val="single"/>
        </w:rPr>
        <w:t>名称）</w:t>
      </w:r>
      <w:r>
        <w:rPr>
          <w:rFonts w:hint="eastAsia" w:ascii="宋体" w:hAnsi="宋体" w:cs="宋体"/>
          <w:color w:val="auto"/>
          <w:sz w:val="24"/>
          <w:highlight w:val="none"/>
        </w:rPr>
        <w:t>为该项目</w:t>
      </w:r>
      <w:r>
        <w:rPr>
          <w:rFonts w:hint="eastAsia" w:ascii="宋体" w:hAnsi="宋体" w:cs="宋体"/>
          <w:color w:val="auto"/>
          <w:sz w:val="24"/>
          <w:highlight w:val="none"/>
          <w:lang w:eastAsia="zh-CN"/>
        </w:rPr>
        <w:t>入围供应商</w:t>
      </w:r>
      <w:r>
        <w:rPr>
          <w:rFonts w:hint="eastAsia" w:ascii="宋体" w:hAnsi="宋体" w:cs="宋体"/>
          <w:color w:val="auto"/>
          <w:sz w:val="24"/>
          <w:highlight w:val="none"/>
        </w:rPr>
        <w:t>。现于中标通知书发出之日起三十日内，按照</w:t>
      </w:r>
      <w:r>
        <w:rPr>
          <w:rFonts w:hint="eastAsia" w:ascii="宋体" w:hAnsi="宋体" w:cs="宋体"/>
          <w:color w:val="auto"/>
          <w:sz w:val="24"/>
          <w:highlight w:val="none"/>
          <w:lang w:eastAsia="zh-CN"/>
        </w:rPr>
        <w:t>征集文件</w:t>
      </w:r>
      <w:r>
        <w:rPr>
          <w:rFonts w:hint="eastAsia" w:ascii="宋体" w:hAnsi="宋体" w:cs="宋体"/>
          <w:color w:val="auto"/>
          <w:sz w:val="24"/>
          <w:highlight w:val="none"/>
        </w:rPr>
        <w:t>确定的事项签订本合同。</w:t>
      </w:r>
    </w:p>
    <w:p w14:paraId="30F4DC5A">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lang w:val="zh-CN"/>
        </w:rPr>
        <w:t>根据《中华人民共和国民法典》、《中华人民共和国政府采购法》等相关法律法规之规定，按照平等、自愿、公平和诚实信用的原则，经</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宜兴市财政局</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zh-CN"/>
        </w:rPr>
        <w:t>(以下简称：甲方)和</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入围供应商</w:t>
      </w:r>
      <w:r>
        <w:rPr>
          <w:rFonts w:hint="eastAsia" w:ascii="宋体" w:hAnsi="宋体" w:cs="宋体"/>
          <w:color w:val="auto"/>
          <w:sz w:val="24"/>
          <w:highlight w:val="none"/>
          <w:u w:val="single"/>
        </w:rPr>
        <w:t>名称）</w:t>
      </w:r>
      <w:r>
        <w:rPr>
          <w:rFonts w:hint="eastAsia" w:ascii="宋体" w:hAnsi="宋体" w:cs="宋体"/>
          <w:color w:val="auto"/>
          <w:sz w:val="24"/>
          <w:highlight w:val="none"/>
          <w:lang w:val="zh-CN"/>
        </w:rPr>
        <w:t>(以下简称：乙方)协商一致，约定以下合同</w:t>
      </w:r>
      <w:r>
        <w:rPr>
          <w:rFonts w:hint="eastAsia" w:ascii="宋体" w:hAnsi="宋体" w:cs="宋体"/>
          <w:color w:val="auto"/>
          <w:sz w:val="24"/>
          <w:highlight w:val="none"/>
        </w:rPr>
        <w:t>条款，以兹共同遵守、全面履行。</w:t>
      </w:r>
    </w:p>
    <w:p w14:paraId="59C9772F">
      <w:pPr>
        <w:spacing w:line="560" w:lineRule="exact"/>
        <w:ind w:firstLine="482" w:firstLineChars="200"/>
        <w:rPr>
          <w:rFonts w:hint="eastAsia" w:ascii="宋体" w:hAnsi="宋体" w:cs="宋体"/>
          <w:color w:val="auto"/>
          <w:sz w:val="24"/>
          <w:szCs w:val="24"/>
          <w:highlight w:val="none"/>
        </w:rPr>
      </w:pPr>
      <w:bookmarkStart w:id="27" w:name="_Toc28855"/>
      <w:bookmarkStart w:id="28" w:name="_Toc22967"/>
      <w:bookmarkStart w:id="29" w:name="_Toc19273"/>
      <w:bookmarkStart w:id="30" w:name="_Toc20421"/>
      <w:bookmarkStart w:id="31" w:name="_Toc15367"/>
      <w:r>
        <w:rPr>
          <w:rFonts w:hint="eastAsia" w:ascii="宋体" w:hAnsi="宋体" w:cs="宋体"/>
          <w:b/>
          <w:color w:val="auto"/>
          <w:sz w:val="24"/>
          <w:szCs w:val="24"/>
          <w:highlight w:val="none"/>
        </w:rPr>
        <w:t>1.1 合同组成部分</w:t>
      </w:r>
      <w:bookmarkEnd w:id="27"/>
      <w:bookmarkEnd w:id="28"/>
      <w:bookmarkEnd w:id="29"/>
      <w:bookmarkEnd w:id="30"/>
      <w:bookmarkEnd w:id="31"/>
    </w:p>
    <w:p w14:paraId="4AE746CC">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下列文件为本合同的组成部分，并构成一个整体，需综合解释、相互补充。如果下列文件内容出现不一致的情形，那么在保证按照</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确定的事项的前提下，组成本合同的多个文件的优先适用顺序如下：</w:t>
      </w:r>
    </w:p>
    <w:p w14:paraId="1EA3F3E7">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1.1.1 本合同及其补充合同、变更协议；</w:t>
      </w:r>
    </w:p>
    <w:p w14:paraId="5E2C6A7E">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1.1.2 </w:t>
      </w:r>
      <w:r>
        <w:rPr>
          <w:rFonts w:hint="eastAsia" w:ascii="宋体" w:hAnsi="宋体" w:cs="宋体"/>
          <w:color w:val="auto"/>
          <w:sz w:val="24"/>
          <w:szCs w:val="24"/>
          <w:highlight w:val="none"/>
          <w:lang w:val="en-US" w:eastAsia="zh-CN"/>
        </w:rPr>
        <w:t>入围</w:t>
      </w:r>
      <w:r>
        <w:rPr>
          <w:rFonts w:hint="eastAsia" w:ascii="宋体" w:hAnsi="宋体" w:cs="宋体"/>
          <w:color w:val="auto"/>
          <w:sz w:val="24"/>
          <w:szCs w:val="24"/>
          <w:highlight w:val="none"/>
        </w:rPr>
        <w:t>通知书；</w:t>
      </w:r>
    </w:p>
    <w:p w14:paraId="24045292">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1.1.3 </w:t>
      </w:r>
      <w:r>
        <w:rPr>
          <w:rFonts w:hint="eastAsia" w:ascii="宋体" w:hAnsi="宋体" w:cs="宋体"/>
          <w:color w:val="auto"/>
          <w:sz w:val="24"/>
          <w:szCs w:val="24"/>
          <w:highlight w:val="none"/>
          <w:lang w:val="en-US" w:eastAsia="zh-CN"/>
        </w:rPr>
        <w:t>响应</w:t>
      </w:r>
      <w:r>
        <w:rPr>
          <w:rFonts w:hint="eastAsia" w:ascii="宋体" w:hAnsi="宋体" w:cs="宋体"/>
          <w:color w:val="auto"/>
          <w:sz w:val="24"/>
          <w:szCs w:val="24"/>
          <w:highlight w:val="none"/>
        </w:rPr>
        <w:t>文件（含澄清或者说明文件）；</w:t>
      </w:r>
    </w:p>
    <w:p w14:paraId="51F2DCC0">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1.1.4 </w:t>
      </w:r>
      <w:r>
        <w:rPr>
          <w:rFonts w:hint="eastAsia" w:ascii="宋体" w:hAnsi="宋体" w:cs="宋体"/>
          <w:color w:val="auto"/>
          <w:sz w:val="24"/>
          <w:szCs w:val="24"/>
          <w:highlight w:val="none"/>
          <w:lang w:val="en-US" w:eastAsia="zh-CN"/>
        </w:rPr>
        <w:t>征集</w:t>
      </w:r>
      <w:r>
        <w:rPr>
          <w:rFonts w:hint="eastAsia" w:ascii="宋体" w:hAnsi="宋体" w:cs="宋体"/>
          <w:color w:val="auto"/>
          <w:sz w:val="24"/>
          <w:szCs w:val="24"/>
          <w:highlight w:val="none"/>
        </w:rPr>
        <w:t>文件（含澄清或者修改文件）；</w:t>
      </w:r>
    </w:p>
    <w:p w14:paraId="0B9D4200">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1.1.5 其他相关</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w:t>
      </w:r>
    </w:p>
    <w:p w14:paraId="4B27CD0A">
      <w:pPr>
        <w:spacing w:line="560" w:lineRule="exact"/>
        <w:ind w:firstLine="482" w:firstLineChars="200"/>
        <w:rPr>
          <w:rFonts w:hint="eastAsia" w:ascii="宋体" w:hAnsi="宋体" w:cs="宋体"/>
          <w:b/>
          <w:color w:val="auto"/>
          <w:sz w:val="24"/>
          <w:szCs w:val="24"/>
          <w:highlight w:val="none"/>
        </w:rPr>
      </w:pPr>
      <w:bookmarkStart w:id="32" w:name="_Toc6773"/>
      <w:bookmarkStart w:id="33" w:name="_Toc18585"/>
      <w:bookmarkStart w:id="34" w:name="_Toc22185"/>
      <w:bookmarkStart w:id="35" w:name="_Toc6311"/>
      <w:bookmarkStart w:id="36" w:name="_Toc2918"/>
      <w:r>
        <w:rPr>
          <w:rFonts w:hint="eastAsia" w:ascii="宋体" w:hAnsi="宋体" w:cs="宋体"/>
          <w:b/>
          <w:color w:val="auto"/>
          <w:sz w:val="24"/>
          <w:szCs w:val="24"/>
          <w:highlight w:val="none"/>
        </w:rPr>
        <w:t>1.2 标的</w:t>
      </w:r>
      <w:bookmarkEnd w:id="32"/>
      <w:bookmarkEnd w:id="33"/>
      <w:bookmarkEnd w:id="34"/>
      <w:bookmarkEnd w:id="35"/>
      <w:bookmarkEnd w:id="36"/>
    </w:p>
    <w:p w14:paraId="2B8914F7">
      <w:pPr>
        <w:spacing w:line="560" w:lineRule="exact"/>
        <w:ind w:firstLine="480" w:firstLineChars="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1.2.1 标的名称：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57AF8061">
      <w:pPr>
        <w:spacing w:line="560" w:lineRule="exact"/>
        <w:ind w:firstLine="480" w:firstLineChars="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1.2.2 标的数量：</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1B1CE4C9">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1.2.3 标的质量：</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w:t>
      </w:r>
    </w:p>
    <w:p w14:paraId="072417BF">
      <w:pPr>
        <w:spacing w:line="560" w:lineRule="exact"/>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1.2.4人员配备：</w:t>
      </w:r>
    </w:p>
    <w:p w14:paraId="72EFB5DF">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项目负责人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，执业资格</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w:t>
      </w:r>
    </w:p>
    <w:p w14:paraId="62C0F07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其他审核人员</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，执业资格</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w:t>
      </w:r>
      <w:r>
        <w:rPr>
          <w:rFonts w:hint="eastAsia" w:ascii="宋体" w:hAnsi="宋体" w:cs="宋体"/>
          <w:color w:val="auto"/>
          <w:sz w:val="24"/>
          <w:szCs w:val="24"/>
          <w:highlight w:val="none"/>
        </w:rPr>
        <w:br w:type="textWrapping"/>
      </w:r>
      <w:bookmarkStart w:id="37" w:name="_Toc5635"/>
      <w:bookmarkStart w:id="38" w:name="_Toc21124"/>
      <w:bookmarkStart w:id="39" w:name="_Toc1386"/>
      <w:bookmarkStart w:id="40" w:name="_Toc4929"/>
      <w:bookmarkStart w:id="41" w:name="_Toc13918"/>
      <w:r>
        <w:rPr>
          <w:rFonts w:hint="eastAsia" w:ascii="宋体" w:hAnsi="宋体" w:cs="宋体"/>
          <w:color w:val="auto"/>
          <w:sz w:val="24"/>
          <w:szCs w:val="24"/>
          <w:highlight w:val="none"/>
        </w:rPr>
        <w:t>1.3 价款</w:t>
      </w:r>
      <w:bookmarkEnd w:id="37"/>
      <w:bookmarkEnd w:id="38"/>
      <w:bookmarkEnd w:id="39"/>
      <w:bookmarkEnd w:id="40"/>
      <w:bookmarkEnd w:id="41"/>
    </w:p>
    <w:p w14:paraId="04712D92">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本合同总价为：￥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元人民币）。</w:t>
      </w:r>
    </w:p>
    <w:p w14:paraId="31B2160E">
      <w:pPr>
        <w:spacing w:line="560" w:lineRule="exact"/>
        <w:ind w:firstLine="480" w:firstLineChars="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分项价格：</w:t>
      </w:r>
    </w:p>
    <w:tbl>
      <w:tblPr>
        <w:tblStyle w:val="22"/>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686"/>
        <w:gridCol w:w="3513"/>
      </w:tblGrid>
      <w:tr w14:paraId="66B3F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651" w:type="dxa"/>
            <w:vAlign w:val="center"/>
          </w:tcPr>
          <w:p w14:paraId="5B9A59C0">
            <w:pPr>
              <w:pStyle w:val="53"/>
              <w:spacing w:line="560" w:lineRule="exact"/>
              <w:jc w:val="center"/>
              <w:rPr>
                <w:rFonts w:hint="eastAsia" w:hAnsi="宋体" w:cs="宋体"/>
                <w:color w:val="auto"/>
                <w:sz w:val="24"/>
                <w:szCs w:val="24"/>
                <w:highlight w:val="none"/>
              </w:rPr>
            </w:pPr>
            <w:r>
              <w:rPr>
                <w:rFonts w:hint="eastAsia" w:hAnsi="宋体" w:cs="宋体"/>
                <w:color w:val="auto"/>
                <w:sz w:val="24"/>
                <w:szCs w:val="24"/>
                <w:highlight w:val="none"/>
              </w:rPr>
              <w:t>序号</w:t>
            </w:r>
          </w:p>
        </w:tc>
        <w:tc>
          <w:tcPr>
            <w:tcW w:w="4686" w:type="dxa"/>
            <w:vAlign w:val="center"/>
          </w:tcPr>
          <w:p w14:paraId="66B867D3">
            <w:pPr>
              <w:pStyle w:val="53"/>
              <w:spacing w:line="560" w:lineRule="exact"/>
              <w:ind w:firstLine="200"/>
              <w:jc w:val="center"/>
              <w:rPr>
                <w:rFonts w:hint="eastAsia" w:hAnsi="宋体" w:cs="宋体"/>
                <w:color w:val="auto"/>
                <w:sz w:val="24"/>
                <w:szCs w:val="24"/>
                <w:highlight w:val="none"/>
              </w:rPr>
            </w:pPr>
            <w:r>
              <w:rPr>
                <w:rFonts w:hint="eastAsia" w:hAnsi="宋体" w:cs="宋体"/>
                <w:color w:val="auto"/>
                <w:sz w:val="24"/>
                <w:szCs w:val="24"/>
                <w:highlight w:val="none"/>
              </w:rPr>
              <w:t>分项名称</w:t>
            </w:r>
          </w:p>
        </w:tc>
        <w:tc>
          <w:tcPr>
            <w:tcW w:w="3513" w:type="dxa"/>
            <w:vAlign w:val="center"/>
          </w:tcPr>
          <w:p w14:paraId="47AC13A5">
            <w:pPr>
              <w:pStyle w:val="53"/>
              <w:spacing w:line="560" w:lineRule="exact"/>
              <w:jc w:val="center"/>
              <w:rPr>
                <w:rFonts w:hint="eastAsia" w:hAnsi="宋体" w:cs="宋体"/>
                <w:color w:val="auto"/>
                <w:sz w:val="24"/>
                <w:szCs w:val="24"/>
                <w:highlight w:val="none"/>
              </w:rPr>
            </w:pPr>
            <w:r>
              <w:rPr>
                <w:rFonts w:hint="eastAsia" w:hAnsi="宋体" w:cs="宋体"/>
                <w:color w:val="auto"/>
                <w:sz w:val="24"/>
                <w:szCs w:val="24"/>
                <w:highlight w:val="none"/>
              </w:rPr>
              <w:t>分项价格</w:t>
            </w:r>
          </w:p>
        </w:tc>
      </w:tr>
      <w:tr w14:paraId="554F4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651" w:type="dxa"/>
            <w:vAlign w:val="center"/>
          </w:tcPr>
          <w:p w14:paraId="559951A5">
            <w:pPr>
              <w:pStyle w:val="53"/>
              <w:spacing w:line="560" w:lineRule="exact"/>
              <w:ind w:firstLine="200"/>
              <w:jc w:val="center"/>
              <w:rPr>
                <w:rFonts w:hint="eastAsia" w:hAnsi="宋体" w:cs="宋体"/>
                <w:color w:val="auto"/>
                <w:sz w:val="24"/>
                <w:szCs w:val="24"/>
                <w:highlight w:val="none"/>
              </w:rPr>
            </w:pPr>
          </w:p>
        </w:tc>
        <w:tc>
          <w:tcPr>
            <w:tcW w:w="4686" w:type="dxa"/>
            <w:vAlign w:val="center"/>
          </w:tcPr>
          <w:p w14:paraId="1317A85D">
            <w:pPr>
              <w:pStyle w:val="53"/>
              <w:spacing w:line="560" w:lineRule="exact"/>
              <w:ind w:firstLine="200"/>
              <w:jc w:val="center"/>
              <w:rPr>
                <w:rFonts w:hint="eastAsia" w:hAnsi="宋体" w:cs="宋体"/>
                <w:color w:val="auto"/>
                <w:sz w:val="24"/>
                <w:szCs w:val="24"/>
                <w:highlight w:val="none"/>
              </w:rPr>
            </w:pPr>
          </w:p>
        </w:tc>
        <w:tc>
          <w:tcPr>
            <w:tcW w:w="3513" w:type="dxa"/>
            <w:vAlign w:val="center"/>
          </w:tcPr>
          <w:p w14:paraId="69EC85A5">
            <w:pPr>
              <w:pStyle w:val="53"/>
              <w:spacing w:line="560" w:lineRule="exact"/>
              <w:ind w:firstLine="200"/>
              <w:jc w:val="center"/>
              <w:rPr>
                <w:rFonts w:hint="eastAsia" w:hAnsi="宋体" w:cs="宋体"/>
                <w:color w:val="auto"/>
                <w:sz w:val="24"/>
                <w:szCs w:val="24"/>
                <w:highlight w:val="none"/>
              </w:rPr>
            </w:pPr>
          </w:p>
        </w:tc>
      </w:tr>
      <w:tr w14:paraId="0C4A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651" w:type="dxa"/>
            <w:vAlign w:val="center"/>
          </w:tcPr>
          <w:p w14:paraId="4296903B">
            <w:pPr>
              <w:pStyle w:val="53"/>
              <w:spacing w:line="560" w:lineRule="exact"/>
              <w:ind w:firstLine="200"/>
              <w:jc w:val="center"/>
              <w:rPr>
                <w:rFonts w:hint="eastAsia" w:hAnsi="宋体" w:cs="宋体"/>
                <w:color w:val="auto"/>
                <w:sz w:val="24"/>
                <w:szCs w:val="24"/>
                <w:highlight w:val="none"/>
              </w:rPr>
            </w:pPr>
          </w:p>
        </w:tc>
        <w:tc>
          <w:tcPr>
            <w:tcW w:w="4686" w:type="dxa"/>
            <w:vAlign w:val="center"/>
          </w:tcPr>
          <w:p w14:paraId="36D5D78E">
            <w:pPr>
              <w:pStyle w:val="53"/>
              <w:spacing w:line="560" w:lineRule="exact"/>
              <w:ind w:firstLine="200"/>
              <w:jc w:val="center"/>
              <w:rPr>
                <w:rFonts w:hint="eastAsia" w:hAnsi="宋体" w:cs="宋体"/>
                <w:color w:val="auto"/>
                <w:sz w:val="24"/>
                <w:szCs w:val="24"/>
                <w:highlight w:val="none"/>
              </w:rPr>
            </w:pPr>
          </w:p>
        </w:tc>
        <w:tc>
          <w:tcPr>
            <w:tcW w:w="3513" w:type="dxa"/>
            <w:vAlign w:val="center"/>
          </w:tcPr>
          <w:p w14:paraId="6864CBD3">
            <w:pPr>
              <w:pStyle w:val="53"/>
              <w:spacing w:line="560" w:lineRule="exact"/>
              <w:ind w:firstLine="200"/>
              <w:jc w:val="center"/>
              <w:rPr>
                <w:rFonts w:hint="eastAsia" w:hAnsi="宋体" w:cs="宋体"/>
                <w:color w:val="auto"/>
                <w:sz w:val="24"/>
                <w:szCs w:val="24"/>
                <w:highlight w:val="none"/>
              </w:rPr>
            </w:pPr>
          </w:p>
        </w:tc>
      </w:tr>
      <w:tr w14:paraId="34145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337" w:type="dxa"/>
            <w:gridSpan w:val="2"/>
            <w:vAlign w:val="center"/>
          </w:tcPr>
          <w:p w14:paraId="4BA3D2FC">
            <w:pPr>
              <w:pStyle w:val="53"/>
              <w:spacing w:line="560" w:lineRule="exact"/>
              <w:ind w:firstLine="200"/>
              <w:jc w:val="center"/>
              <w:rPr>
                <w:rFonts w:hint="eastAsia" w:hAnsi="宋体" w:cs="宋体"/>
                <w:color w:val="auto"/>
                <w:sz w:val="24"/>
                <w:szCs w:val="24"/>
                <w:highlight w:val="none"/>
              </w:rPr>
            </w:pPr>
            <w:r>
              <w:rPr>
                <w:rFonts w:hint="eastAsia" w:hAnsi="宋体" w:cs="宋体"/>
                <w:color w:val="auto"/>
                <w:sz w:val="24"/>
                <w:szCs w:val="24"/>
                <w:highlight w:val="none"/>
              </w:rPr>
              <w:t>总价</w:t>
            </w:r>
          </w:p>
        </w:tc>
        <w:tc>
          <w:tcPr>
            <w:tcW w:w="3513" w:type="dxa"/>
            <w:vAlign w:val="center"/>
          </w:tcPr>
          <w:p w14:paraId="27475150">
            <w:pPr>
              <w:pStyle w:val="53"/>
              <w:spacing w:line="560" w:lineRule="exact"/>
              <w:ind w:firstLine="200"/>
              <w:jc w:val="center"/>
              <w:rPr>
                <w:rFonts w:hint="eastAsia" w:hAnsi="宋体" w:cs="宋体"/>
                <w:color w:val="auto"/>
                <w:sz w:val="24"/>
                <w:szCs w:val="24"/>
                <w:highlight w:val="none"/>
              </w:rPr>
            </w:pPr>
          </w:p>
        </w:tc>
      </w:tr>
    </w:tbl>
    <w:p w14:paraId="5CE3BC54">
      <w:pPr>
        <w:spacing w:line="560" w:lineRule="exact"/>
        <w:ind w:firstLine="482" w:firstLineChars="200"/>
        <w:rPr>
          <w:rFonts w:hint="eastAsia" w:ascii="宋体" w:hAnsi="宋体" w:cs="宋体"/>
          <w:b/>
          <w:color w:val="auto"/>
          <w:sz w:val="24"/>
          <w:szCs w:val="24"/>
          <w:highlight w:val="none"/>
        </w:rPr>
      </w:pPr>
      <w:bookmarkStart w:id="42" w:name="_Toc26916"/>
      <w:bookmarkStart w:id="43" w:name="_Toc30506"/>
      <w:bookmarkStart w:id="44" w:name="_Toc14993"/>
      <w:bookmarkStart w:id="45" w:name="_Toc3654"/>
      <w:bookmarkStart w:id="46" w:name="_Toc30158"/>
      <w:r>
        <w:rPr>
          <w:rFonts w:hint="eastAsia" w:ascii="宋体" w:hAnsi="宋体" w:cs="宋体"/>
          <w:b/>
          <w:color w:val="auto"/>
          <w:sz w:val="24"/>
          <w:szCs w:val="24"/>
          <w:highlight w:val="none"/>
        </w:rPr>
        <w:t>1.4 付款方式和发票开具方式</w:t>
      </w:r>
      <w:bookmarkEnd w:id="42"/>
      <w:bookmarkEnd w:id="43"/>
      <w:bookmarkEnd w:id="44"/>
      <w:bookmarkEnd w:id="45"/>
      <w:bookmarkEnd w:id="46"/>
    </w:p>
    <w:p w14:paraId="25609D7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u w:val="single"/>
          <w:lang w:val="en-US" w:eastAsia="zh-CN"/>
        </w:rPr>
      </w:pPr>
      <w:r>
        <w:rPr>
          <w:rFonts w:hint="eastAsia" w:ascii="宋体" w:hAnsi="宋体" w:cs="宋体"/>
          <w:color w:val="auto"/>
          <w:sz w:val="24"/>
          <w:szCs w:val="24"/>
          <w:highlight w:val="none"/>
        </w:rPr>
        <w:t>1.4.1付款方式：</w:t>
      </w:r>
      <w:r>
        <w:rPr>
          <w:rFonts w:hint="eastAsia" w:ascii="宋体" w:hAnsi="宋体" w:cs="宋体"/>
          <w:color w:val="auto"/>
          <w:sz w:val="24"/>
          <w:szCs w:val="24"/>
          <w:highlight w:val="none"/>
          <w:u w:val="single"/>
        </w:rPr>
        <w:t xml:space="preserve"> </w:t>
      </w:r>
      <w:r>
        <w:rPr>
          <w:rFonts w:hint="eastAsia" w:asciiTheme="minorEastAsia" w:hAnsiTheme="minorEastAsia"/>
          <w:color w:val="auto"/>
          <w:sz w:val="24"/>
          <w:szCs w:val="24"/>
          <w:highlight w:val="none"/>
          <w:u w:val="single"/>
          <w:lang w:val="en-US" w:eastAsia="zh-CN"/>
        </w:rPr>
        <w:t>根据“收费标准、报价系数以及考核结果”结算工程造价咨询服务费用。</w:t>
      </w:r>
    </w:p>
    <w:p w14:paraId="1B608D2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备注：实际工程造价咨询服务费用=项目收费标准×报价系数×考核系数</w:t>
      </w:r>
    </w:p>
    <w:p w14:paraId="45966EA1">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color w:val="auto"/>
          <w:highlight w:val="none"/>
          <w:lang w:val="en-US" w:eastAsia="zh-CN"/>
        </w:rPr>
      </w:pPr>
      <w:r>
        <w:rPr>
          <w:rFonts w:hint="eastAsia" w:asciiTheme="minorEastAsia" w:hAnsiTheme="minorEastAsia"/>
          <w:color w:val="auto"/>
          <w:sz w:val="24"/>
          <w:szCs w:val="24"/>
          <w:highlight w:val="none"/>
          <w:lang w:val="en-US" w:eastAsia="zh-CN"/>
        </w:rPr>
        <w:t>报价系数=</w:t>
      </w:r>
      <w:r>
        <w:rPr>
          <w:rFonts w:hint="eastAsia" w:asciiTheme="minorEastAsia" w:hAnsiTheme="minorEastAsia"/>
          <w:color w:val="auto"/>
          <w:position w:val="-26"/>
          <w:sz w:val="24"/>
          <w:szCs w:val="24"/>
          <w:highlight w:val="none"/>
          <w:lang w:val="en-US" w:eastAsia="zh-CN"/>
        </w:rPr>
        <w:object>
          <v:shape id="_x0000_i1031" o:spt="75" type="#_x0000_t75" style="height:33pt;width:89pt;" o:ole="t" filled="f" o:preferrelative="t" stroked="f" coordsize="21600,21600">
            <v:path/>
            <v:fill on="f" focussize="0,0"/>
            <v:stroke on="f"/>
            <v:imagedata r:id="rId7" o:title=""/>
            <o:lock v:ext="edit" aspectratio="t"/>
            <w10:wrap type="none"/>
            <w10:anchorlock/>
          </v:shape>
          <o:OLEObject Type="Embed" ProgID="Equation.KSEE3" ShapeID="_x0000_i1031" DrawAspect="Content" ObjectID="_1468075731" r:id="rId14">
            <o:LockedField>false</o:LockedField>
          </o:OLEObject>
        </w:object>
      </w:r>
      <w:r>
        <w:rPr>
          <w:rFonts w:hint="eastAsia" w:asciiTheme="minorEastAsia" w:hAnsiTheme="minorEastAsia"/>
          <w:color w:val="auto"/>
          <w:sz w:val="24"/>
          <w:szCs w:val="24"/>
          <w:highlight w:val="none"/>
          <w:lang w:val="en-US" w:eastAsia="zh-CN"/>
        </w:rPr>
        <w:t>；考核系数=</w:t>
      </w:r>
      <w:r>
        <w:rPr>
          <w:rFonts w:hint="eastAsia" w:asciiTheme="minorEastAsia" w:hAnsiTheme="minorEastAsia"/>
          <w:color w:val="auto"/>
          <w:position w:val="-26"/>
          <w:sz w:val="24"/>
          <w:szCs w:val="24"/>
          <w:highlight w:val="none"/>
          <w:lang w:val="en-US" w:eastAsia="zh-CN"/>
        </w:rPr>
        <w:object>
          <v:shape id="_x0000_i1032" o:spt="75" type="#_x0000_t75" style="height:33pt;width:89pt;" o:ole="t" filled="f" o:preferrelative="t" stroked="f" coordsize="21600,21600">
            <v:path/>
            <v:fill on="f" focussize="0,0"/>
            <v:stroke on="f"/>
            <v:imagedata r:id="rId9" o:title=""/>
            <o:lock v:ext="edit" aspectratio="t"/>
            <w10:wrap type="none"/>
            <w10:anchorlock/>
          </v:shape>
          <o:OLEObject Type="Embed" ProgID="Equation.KSEE3" ShapeID="_x0000_i1032" DrawAspect="Content" ObjectID="_1468075732" r:id="rId15">
            <o:LockedField>false</o:LockedField>
          </o:OLEObject>
        </w:object>
      </w:r>
    </w:p>
    <w:p w14:paraId="59407ABC">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（1）概算审核：</w:t>
      </w:r>
    </w:p>
    <w:p w14:paraId="2E292708">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关于2017年政府投资项目概算委托审核费用标准的通知</w:t>
      </w:r>
      <w:r>
        <w:rPr>
          <w:rFonts w:hint="default" w:asciiTheme="minorEastAsia" w:hAnsiTheme="minorEastAsia" w:eastAsiaTheme="minorEastAsia" w:cstheme="minorBidi"/>
          <w:color w:val="auto"/>
          <w:kern w:val="2"/>
          <w:sz w:val="24"/>
          <w:szCs w:val="24"/>
          <w:highlight w:val="none"/>
          <w:lang w:val="en-US" w:eastAsia="zh-CN" w:bidi="ar-SA"/>
        </w:rPr>
        <w:t>》（详见</w:t>
      </w:r>
      <w:r>
        <w:rPr>
          <w:rFonts w:hint="eastAsia" w:asciiTheme="minorEastAsia" w:hAnsiTheme="minorEastAsia" w:eastAsiaTheme="minorEastAsia" w:cstheme="minorBidi"/>
          <w:color w:val="auto"/>
          <w:kern w:val="2"/>
          <w:sz w:val="24"/>
          <w:szCs w:val="24"/>
          <w:highlight w:val="none"/>
          <w:lang w:val="en-US" w:eastAsia="zh-CN" w:bidi="ar-SA"/>
        </w:rPr>
        <w:t>宜财投审[2017]1号文</w:t>
      </w:r>
      <w:r>
        <w:rPr>
          <w:rFonts w:hint="default" w:asciiTheme="minorEastAsia" w:hAnsiTheme="minorEastAsia" w:eastAsiaTheme="minorEastAsia" w:cstheme="minorBidi"/>
          <w:color w:val="auto"/>
          <w:kern w:val="2"/>
          <w:sz w:val="24"/>
          <w:szCs w:val="24"/>
          <w:highlight w:val="none"/>
          <w:lang w:val="en-US" w:eastAsia="zh-CN" w:bidi="ar-SA"/>
        </w:rPr>
        <w:t>）的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p w14:paraId="3663DFB4">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p>
    <w:tbl>
      <w:tblPr>
        <w:tblStyle w:val="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137"/>
        <w:gridCol w:w="1457"/>
        <w:gridCol w:w="1247"/>
        <w:gridCol w:w="1247"/>
        <w:gridCol w:w="1385"/>
        <w:gridCol w:w="1283"/>
        <w:gridCol w:w="1085"/>
      </w:tblGrid>
      <w:tr w14:paraId="50AB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3" w:type="dxa"/>
            <w:vAlign w:val="center"/>
          </w:tcPr>
          <w:p w14:paraId="10AD054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137" w:type="dxa"/>
            <w:vAlign w:val="center"/>
          </w:tcPr>
          <w:p w14:paraId="0390147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457" w:type="dxa"/>
            <w:vAlign w:val="center"/>
          </w:tcPr>
          <w:p w14:paraId="0A7BBAD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100万元以内(含）</w:t>
            </w:r>
          </w:p>
        </w:tc>
        <w:tc>
          <w:tcPr>
            <w:tcW w:w="1247" w:type="dxa"/>
            <w:vAlign w:val="center"/>
          </w:tcPr>
          <w:p w14:paraId="248BCB7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-500万元（含）</w:t>
            </w:r>
          </w:p>
        </w:tc>
        <w:tc>
          <w:tcPr>
            <w:tcW w:w="1247" w:type="dxa"/>
            <w:vAlign w:val="center"/>
          </w:tcPr>
          <w:p w14:paraId="5E54C39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-1000万元（含）</w:t>
            </w:r>
          </w:p>
        </w:tc>
        <w:tc>
          <w:tcPr>
            <w:tcW w:w="1385" w:type="dxa"/>
            <w:vAlign w:val="center"/>
          </w:tcPr>
          <w:p w14:paraId="3319316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-5000万元（含）</w:t>
            </w:r>
          </w:p>
        </w:tc>
        <w:tc>
          <w:tcPr>
            <w:tcW w:w="1283" w:type="dxa"/>
            <w:vAlign w:val="center"/>
          </w:tcPr>
          <w:p w14:paraId="719604BD">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r>
              <w:rPr>
                <w:rFonts w:hint="eastAsia" w:asciiTheme="minorEastAsia" w:hAnsiTheme="minorEastAsia" w:cstheme="minorBidi"/>
                <w:color w:val="auto"/>
                <w:kern w:val="2"/>
                <w:sz w:val="24"/>
                <w:szCs w:val="24"/>
                <w:highlight w:val="none"/>
                <w:lang w:val="en-US" w:eastAsia="zh-CN" w:bidi="ar-SA"/>
              </w:rPr>
              <w:t>0</w:t>
            </w:r>
            <w:r>
              <w:rPr>
                <w:rFonts w:hint="eastAsia" w:asciiTheme="minorEastAsia" w:hAnsiTheme="minorEastAsia" w:eastAsiaTheme="minorEastAsia" w:cstheme="minorBidi"/>
                <w:color w:val="auto"/>
                <w:kern w:val="2"/>
                <w:sz w:val="24"/>
                <w:szCs w:val="24"/>
                <w:highlight w:val="none"/>
                <w:lang w:val="en-US" w:eastAsia="zh-CN" w:bidi="ar-SA"/>
              </w:rPr>
              <w:t>万元</w:t>
            </w:r>
            <w:r>
              <w:rPr>
                <w:rFonts w:hint="eastAsia" w:asciiTheme="minorEastAsia" w:hAnsiTheme="minorEastAsia" w:cstheme="minorBidi"/>
                <w:color w:val="auto"/>
                <w:kern w:val="2"/>
                <w:sz w:val="24"/>
                <w:szCs w:val="24"/>
                <w:highlight w:val="none"/>
                <w:lang w:val="en-US" w:eastAsia="zh-CN" w:bidi="ar-SA"/>
              </w:rPr>
              <w:t>（不含）</w:t>
            </w:r>
            <w:r>
              <w:rPr>
                <w:rFonts w:hint="eastAsia" w:asciiTheme="minorEastAsia" w:hAnsiTheme="minorEastAsia" w:eastAsiaTheme="minorEastAsia" w:cstheme="minorBidi"/>
                <w:color w:val="auto"/>
                <w:kern w:val="2"/>
                <w:sz w:val="24"/>
                <w:szCs w:val="24"/>
                <w:highlight w:val="none"/>
                <w:lang w:val="en-US" w:eastAsia="zh-CN" w:bidi="ar-SA"/>
              </w:rPr>
              <w:t>-1亿元（含）</w:t>
            </w:r>
          </w:p>
        </w:tc>
        <w:tc>
          <w:tcPr>
            <w:tcW w:w="1085" w:type="dxa"/>
            <w:vAlign w:val="center"/>
          </w:tcPr>
          <w:p w14:paraId="1B33EEA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1亿元以上</w:t>
            </w:r>
          </w:p>
        </w:tc>
      </w:tr>
      <w:tr w14:paraId="27FF7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143" w:type="dxa"/>
            <w:vAlign w:val="center"/>
          </w:tcPr>
          <w:p w14:paraId="535158A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概算审核</w:t>
            </w:r>
          </w:p>
        </w:tc>
        <w:tc>
          <w:tcPr>
            <w:tcW w:w="1137" w:type="dxa"/>
            <w:vAlign w:val="center"/>
          </w:tcPr>
          <w:p w14:paraId="4A24014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送审概算造价</w:t>
            </w:r>
          </w:p>
        </w:tc>
        <w:tc>
          <w:tcPr>
            <w:tcW w:w="1457" w:type="dxa"/>
            <w:vAlign w:val="center"/>
          </w:tcPr>
          <w:p w14:paraId="7D3E8CD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0.88‰</w:t>
            </w:r>
          </w:p>
        </w:tc>
        <w:tc>
          <w:tcPr>
            <w:tcW w:w="1247" w:type="dxa"/>
            <w:vAlign w:val="center"/>
          </w:tcPr>
          <w:p w14:paraId="75ABD7D5">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0.72‰</w:t>
            </w:r>
          </w:p>
        </w:tc>
        <w:tc>
          <w:tcPr>
            <w:tcW w:w="1247" w:type="dxa"/>
            <w:vAlign w:val="center"/>
          </w:tcPr>
          <w:p w14:paraId="5C5916B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0.56‰</w:t>
            </w:r>
          </w:p>
        </w:tc>
        <w:tc>
          <w:tcPr>
            <w:tcW w:w="1385" w:type="dxa"/>
            <w:vAlign w:val="center"/>
          </w:tcPr>
          <w:p w14:paraId="2E65F26E">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283" w:type="dxa"/>
            <w:vAlign w:val="center"/>
          </w:tcPr>
          <w:p w14:paraId="489E967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085" w:type="dxa"/>
            <w:vAlign w:val="center"/>
          </w:tcPr>
          <w:p w14:paraId="7B8BDD2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0.16‰</w:t>
            </w:r>
          </w:p>
        </w:tc>
      </w:tr>
    </w:tbl>
    <w:p w14:paraId="05771151">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（2）招标控制价审核（工程类）：</w:t>
      </w:r>
    </w:p>
    <w:p w14:paraId="680ECC5F">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招标控制价审核（工程类）</w:t>
      </w:r>
      <w:r>
        <w:rPr>
          <w:rFonts w:hint="default" w:asciiTheme="minorEastAsia" w:hAnsiTheme="minorEastAsia" w:eastAsiaTheme="minorEastAsia" w:cstheme="minorBidi"/>
          <w:color w:val="auto"/>
          <w:kern w:val="2"/>
          <w:sz w:val="24"/>
          <w:szCs w:val="24"/>
          <w:highlight w:val="none"/>
          <w:lang w:val="en-US" w:eastAsia="zh-CN" w:bidi="ar-SA"/>
        </w:rPr>
        <w:t>费用原则上按照《</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8</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3"/>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6"/>
        <w:gridCol w:w="995"/>
        <w:gridCol w:w="1297"/>
        <w:gridCol w:w="1169"/>
        <w:gridCol w:w="1167"/>
        <w:gridCol w:w="1017"/>
        <w:gridCol w:w="1169"/>
        <w:gridCol w:w="1064"/>
      </w:tblGrid>
      <w:tr w14:paraId="66BC1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106" w:type="dxa"/>
            <w:vAlign w:val="center"/>
          </w:tcPr>
          <w:p w14:paraId="67C409D2">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995" w:type="dxa"/>
            <w:vAlign w:val="center"/>
          </w:tcPr>
          <w:p w14:paraId="2E68823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97" w:type="dxa"/>
            <w:vAlign w:val="center"/>
          </w:tcPr>
          <w:p w14:paraId="1706F15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500万元以内(含）</w:t>
            </w:r>
          </w:p>
        </w:tc>
        <w:tc>
          <w:tcPr>
            <w:tcW w:w="1169" w:type="dxa"/>
            <w:vAlign w:val="center"/>
          </w:tcPr>
          <w:p w14:paraId="0064893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1000万元以内（含）</w:t>
            </w:r>
          </w:p>
        </w:tc>
        <w:tc>
          <w:tcPr>
            <w:tcW w:w="1167" w:type="dxa"/>
            <w:vAlign w:val="center"/>
          </w:tcPr>
          <w:p w14:paraId="4C30A473">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5000万元以内（含）</w:t>
            </w:r>
          </w:p>
        </w:tc>
        <w:tc>
          <w:tcPr>
            <w:tcW w:w="1017" w:type="dxa"/>
            <w:vAlign w:val="center"/>
          </w:tcPr>
          <w:p w14:paraId="04DFE414">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1亿元以内（含）</w:t>
            </w:r>
          </w:p>
        </w:tc>
        <w:tc>
          <w:tcPr>
            <w:tcW w:w="1169" w:type="dxa"/>
            <w:vAlign w:val="center"/>
          </w:tcPr>
          <w:p w14:paraId="456D9A3A">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5亿元以内（含）</w:t>
            </w:r>
          </w:p>
        </w:tc>
        <w:tc>
          <w:tcPr>
            <w:tcW w:w="1064" w:type="dxa"/>
            <w:vAlign w:val="center"/>
          </w:tcPr>
          <w:p w14:paraId="0F8B8CF0">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5亿元以上</w:t>
            </w:r>
          </w:p>
        </w:tc>
      </w:tr>
      <w:tr w14:paraId="2435C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6" w:type="dxa"/>
            <w:vAlign w:val="center"/>
          </w:tcPr>
          <w:p w14:paraId="06439495">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工程预算、招标控制价、投标报价（不含审核工程清单）</w:t>
            </w:r>
            <w:r>
              <w:rPr>
                <w:rFonts w:hint="eastAsia" w:asciiTheme="minorEastAsia" w:hAnsiTheme="minorEastAsia" w:cstheme="minorBidi"/>
                <w:color w:val="auto"/>
                <w:kern w:val="2"/>
                <w:sz w:val="24"/>
                <w:szCs w:val="24"/>
                <w:highlight w:val="none"/>
                <w:lang w:val="en-US" w:eastAsia="zh-CN" w:bidi="ar-SA"/>
              </w:rPr>
              <w:t>审核</w:t>
            </w:r>
          </w:p>
        </w:tc>
        <w:tc>
          <w:tcPr>
            <w:tcW w:w="995" w:type="dxa"/>
            <w:vAlign w:val="center"/>
          </w:tcPr>
          <w:p w14:paraId="458D94D8">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送审建安工程造价</w:t>
            </w:r>
          </w:p>
        </w:tc>
        <w:tc>
          <w:tcPr>
            <w:tcW w:w="1297" w:type="dxa"/>
            <w:vAlign w:val="center"/>
          </w:tcPr>
          <w:p w14:paraId="483D1CD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w:t>
            </w:r>
          </w:p>
        </w:tc>
        <w:tc>
          <w:tcPr>
            <w:tcW w:w="1169" w:type="dxa"/>
            <w:vAlign w:val="center"/>
          </w:tcPr>
          <w:p w14:paraId="15444F71">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0.64‰</w:t>
            </w:r>
          </w:p>
        </w:tc>
        <w:tc>
          <w:tcPr>
            <w:tcW w:w="1167" w:type="dxa"/>
            <w:vAlign w:val="center"/>
          </w:tcPr>
          <w:p w14:paraId="4C9AC853">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0.48‰</w:t>
            </w:r>
          </w:p>
        </w:tc>
        <w:tc>
          <w:tcPr>
            <w:tcW w:w="1017" w:type="dxa"/>
            <w:vAlign w:val="center"/>
          </w:tcPr>
          <w:p w14:paraId="27E1674C">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0.4‰</w:t>
            </w:r>
          </w:p>
        </w:tc>
        <w:tc>
          <w:tcPr>
            <w:tcW w:w="1169" w:type="dxa"/>
            <w:vAlign w:val="center"/>
          </w:tcPr>
          <w:p w14:paraId="647D361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0.32‰</w:t>
            </w:r>
          </w:p>
        </w:tc>
        <w:tc>
          <w:tcPr>
            <w:tcW w:w="1064" w:type="dxa"/>
            <w:vAlign w:val="center"/>
          </w:tcPr>
          <w:p w14:paraId="21A60D15">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0.24‰</w:t>
            </w:r>
          </w:p>
        </w:tc>
      </w:tr>
    </w:tbl>
    <w:p w14:paraId="77D8022B">
      <w:pPr>
        <w:pStyle w:val="28"/>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（3）招标控制价审核（货物服务类）：</w:t>
      </w:r>
    </w:p>
    <w:p w14:paraId="7FE40F02">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eastAsia="方正仿宋_GBK"/>
          <w:bCs/>
          <w:color w:val="auto"/>
          <w:sz w:val="32"/>
          <w:szCs w:val="32"/>
          <w:highlight w:val="none"/>
          <w:lang w:val="en-US" w:eastAsia="zh-CN"/>
        </w:rPr>
      </w:pPr>
      <w:r>
        <w:rPr>
          <w:rFonts w:hint="eastAsia" w:asciiTheme="minorEastAsia" w:hAnsiTheme="minorEastAsia" w:eastAsiaTheme="minorEastAsia" w:cstheme="minorBidi"/>
          <w:color w:val="auto"/>
          <w:kern w:val="2"/>
          <w:sz w:val="24"/>
          <w:szCs w:val="24"/>
          <w:highlight w:val="none"/>
          <w:lang w:val="en-US" w:eastAsia="zh-CN" w:bidi="ar-SA"/>
        </w:rPr>
        <w:t>招标控制价审核（货物服务类）</w:t>
      </w:r>
      <w:r>
        <w:rPr>
          <w:rFonts w:hint="default" w:asciiTheme="minorEastAsia" w:hAnsiTheme="minorEastAsia" w:eastAsiaTheme="minorEastAsia" w:cstheme="minorBidi"/>
          <w:color w:val="auto"/>
          <w:kern w:val="2"/>
          <w:sz w:val="24"/>
          <w:szCs w:val="24"/>
          <w:highlight w:val="none"/>
          <w:lang w:val="en-US" w:eastAsia="zh-CN" w:bidi="ar-SA"/>
        </w:rPr>
        <w:t>费用原则上</w:t>
      </w:r>
      <w:r>
        <w:rPr>
          <w:rFonts w:hint="eastAsia" w:asciiTheme="minorEastAsia" w:hAnsiTheme="minorEastAsia" w:eastAsiaTheme="minorEastAsia" w:cstheme="minorBidi"/>
          <w:color w:val="auto"/>
          <w:kern w:val="2"/>
          <w:sz w:val="24"/>
          <w:szCs w:val="24"/>
          <w:highlight w:val="none"/>
          <w:lang w:val="en-US" w:eastAsia="zh-CN" w:bidi="ar-SA"/>
        </w:rPr>
        <w:t>参照</w:t>
      </w:r>
      <w:r>
        <w:rPr>
          <w:rFonts w:hint="default" w:asciiTheme="minorEastAsia" w:hAnsiTheme="minorEastAsia" w:eastAsiaTheme="minorEastAsia" w:cstheme="minorBidi"/>
          <w:color w:val="auto"/>
          <w:kern w:val="2"/>
          <w:sz w:val="24"/>
          <w:szCs w:val="24"/>
          <w:highlight w:val="none"/>
          <w:lang w:val="en-US" w:eastAsia="zh-CN" w:bidi="ar-SA"/>
        </w:rPr>
        <w:t>《</w:t>
      </w:r>
      <w:r>
        <w:rPr>
          <w:rFonts w:hint="eastAsia" w:asciiTheme="minorEastAsia" w:hAnsiTheme="minorEastAsia" w:eastAsiaTheme="minorEastAsia" w:cstheme="minorBidi"/>
          <w:color w:val="auto"/>
          <w:kern w:val="2"/>
          <w:sz w:val="24"/>
          <w:szCs w:val="24"/>
          <w:highlight w:val="none"/>
          <w:lang w:val="en-US" w:eastAsia="zh-CN" w:bidi="ar-SA"/>
        </w:rPr>
        <w:t>省物价局 省住房与城乡建设厅关于规范工程造价咨询服务收费标准及有关事项的通知</w:t>
      </w:r>
      <w:r>
        <w:rPr>
          <w:rFonts w:hint="default" w:asciiTheme="minorEastAsia" w:hAnsiTheme="minorEastAsia" w:eastAsiaTheme="minorEastAsia" w:cstheme="minorBidi"/>
          <w:color w:val="auto"/>
          <w:kern w:val="2"/>
          <w:sz w:val="24"/>
          <w:szCs w:val="24"/>
          <w:highlight w:val="none"/>
          <w:lang w:val="en-US" w:eastAsia="zh-CN" w:bidi="ar-SA"/>
        </w:rPr>
        <w:t>》（详见苏价服〔2014〕383号文）的</w:t>
      </w:r>
      <w:r>
        <w:rPr>
          <w:rFonts w:hint="eastAsia" w:asciiTheme="minorEastAsia" w:hAnsiTheme="minorEastAsia" w:eastAsiaTheme="minorEastAsia" w:cstheme="minorBidi"/>
          <w:color w:val="auto"/>
          <w:kern w:val="2"/>
          <w:sz w:val="24"/>
          <w:szCs w:val="24"/>
          <w:highlight w:val="none"/>
          <w:lang w:val="en-US" w:eastAsia="zh-CN" w:bidi="ar-SA"/>
        </w:rPr>
        <w:t>5</w:t>
      </w:r>
      <w:r>
        <w:rPr>
          <w:rFonts w:hint="default" w:asciiTheme="minorEastAsia" w:hAnsiTheme="minorEastAsia" w:eastAsiaTheme="minorEastAsia" w:cstheme="minorBidi"/>
          <w:color w:val="auto"/>
          <w:kern w:val="2"/>
          <w:sz w:val="24"/>
          <w:szCs w:val="24"/>
          <w:highlight w:val="none"/>
          <w:lang w:val="en-US" w:eastAsia="zh-CN" w:bidi="ar-SA"/>
        </w:rPr>
        <w:t>0%计取。接受</w:t>
      </w:r>
      <w:r>
        <w:rPr>
          <w:rFonts w:hint="eastAsia" w:asciiTheme="minorEastAsia" w:hAnsiTheme="minorEastAsia" w:eastAsiaTheme="minorEastAsia" w:cstheme="minorBidi"/>
          <w:color w:val="auto"/>
          <w:kern w:val="2"/>
          <w:sz w:val="24"/>
          <w:szCs w:val="24"/>
          <w:highlight w:val="none"/>
          <w:lang w:val="en-US" w:eastAsia="zh-CN" w:bidi="ar-SA"/>
        </w:rPr>
        <w:t>宜兴市财政局</w:t>
      </w:r>
      <w:r>
        <w:rPr>
          <w:rFonts w:hint="default" w:asciiTheme="minorEastAsia" w:hAnsiTheme="minorEastAsia" w:eastAsiaTheme="minorEastAsia" w:cstheme="minorBidi"/>
          <w:color w:val="auto"/>
          <w:kern w:val="2"/>
          <w:sz w:val="24"/>
          <w:szCs w:val="24"/>
          <w:highlight w:val="none"/>
          <w:lang w:val="en-US" w:eastAsia="zh-CN" w:bidi="ar-SA"/>
        </w:rPr>
        <w:t>考核，最终结算费用与考核结果挂钩</w:t>
      </w:r>
      <w:r>
        <w:rPr>
          <w:rFonts w:hint="eastAsia" w:asciiTheme="minorEastAsia" w:hAnsiTheme="minorEastAsia" w:eastAsiaTheme="minorEastAsia" w:cstheme="minorBidi"/>
          <w:color w:val="auto"/>
          <w:kern w:val="2"/>
          <w:sz w:val="24"/>
          <w:szCs w:val="24"/>
          <w:highlight w:val="none"/>
          <w:lang w:val="en-US" w:eastAsia="zh-CN" w:bidi="ar-SA"/>
        </w:rPr>
        <w:t>，具体费率详见下表。</w:t>
      </w:r>
    </w:p>
    <w:tbl>
      <w:tblPr>
        <w:tblStyle w:val="22"/>
        <w:tblpPr w:leftFromText="180" w:rightFromText="180" w:vertAnchor="text" w:horzAnchor="page" w:tblpX="954" w:tblpY="167"/>
        <w:tblOverlap w:val="never"/>
        <w:tblW w:w="101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6"/>
        <w:gridCol w:w="1416"/>
        <w:gridCol w:w="1210"/>
        <w:gridCol w:w="1194"/>
        <w:gridCol w:w="1209"/>
        <w:gridCol w:w="1081"/>
        <w:gridCol w:w="1226"/>
        <w:gridCol w:w="1032"/>
      </w:tblGrid>
      <w:tr w14:paraId="623EC0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62AAF0E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项目类型</w:t>
            </w:r>
          </w:p>
        </w:tc>
        <w:tc>
          <w:tcPr>
            <w:tcW w:w="1416" w:type="dxa"/>
            <w:tcBorders>
              <w:top w:val="single" w:color="000000" w:sz="4" w:space="0"/>
              <w:left w:val="single" w:color="000000" w:sz="4" w:space="0"/>
              <w:bottom w:val="single" w:color="000000" w:sz="4" w:space="0"/>
              <w:right w:val="single" w:color="000000" w:sz="4" w:space="0"/>
            </w:tcBorders>
            <w:vAlign w:val="center"/>
          </w:tcPr>
          <w:p w14:paraId="0F62EC5C">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计费基数</w:t>
            </w:r>
          </w:p>
        </w:tc>
        <w:tc>
          <w:tcPr>
            <w:tcW w:w="1210" w:type="dxa"/>
            <w:tcBorders>
              <w:top w:val="single" w:color="000000" w:sz="4" w:space="0"/>
              <w:left w:val="single" w:color="000000" w:sz="4" w:space="0"/>
              <w:bottom w:val="single" w:color="000000" w:sz="4" w:space="0"/>
              <w:right w:val="single" w:color="000000" w:sz="4" w:space="0"/>
            </w:tcBorders>
          </w:tcPr>
          <w:p w14:paraId="57B6257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≤100万元</w:t>
            </w:r>
          </w:p>
        </w:tc>
        <w:tc>
          <w:tcPr>
            <w:tcW w:w="1194" w:type="dxa"/>
            <w:tcBorders>
              <w:top w:val="single" w:color="000000" w:sz="4" w:space="0"/>
              <w:left w:val="single" w:color="000000" w:sz="4" w:space="0"/>
              <w:bottom w:val="single" w:color="000000" w:sz="4" w:space="0"/>
              <w:right w:val="single" w:color="000000" w:sz="4" w:space="0"/>
            </w:tcBorders>
          </w:tcPr>
          <w:p w14:paraId="6805ADC8">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≤300</w:t>
            </w:r>
          </w:p>
          <w:p w14:paraId="025F5D8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209" w:type="dxa"/>
            <w:tcBorders>
              <w:top w:val="single" w:color="000000" w:sz="4" w:space="0"/>
              <w:left w:val="single" w:color="000000" w:sz="4" w:space="0"/>
              <w:bottom w:val="single" w:color="000000" w:sz="4" w:space="0"/>
              <w:right w:val="single" w:color="000000" w:sz="4" w:space="0"/>
            </w:tcBorders>
          </w:tcPr>
          <w:p w14:paraId="42C6670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w:t>
            </w:r>
          </w:p>
          <w:p w14:paraId="2DFADD59">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万元</w:t>
            </w:r>
          </w:p>
        </w:tc>
        <w:tc>
          <w:tcPr>
            <w:tcW w:w="1081" w:type="dxa"/>
            <w:tcBorders>
              <w:top w:val="single" w:color="000000" w:sz="4" w:space="0"/>
              <w:left w:val="single" w:color="000000" w:sz="4" w:space="0"/>
              <w:bottom w:val="single" w:color="000000" w:sz="4" w:space="0"/>
              <w:right w:val="single" w:color="000000" w:sz="4" w:space="0"/>
            </w:tcBorders>
          </w:tcPr>
          <w:p w14:paraId="27120777">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≤1000万元</w:t>
            </w:r>
          </w:p>
        </w:tc>
        <w:tc>
          <w:tcPr>
            <w:tcW w:w="1226" w:type="dxa"/>
            <w:tcBorders>
              <w:top w:val="single" w:color="000000" w:sz="4" w:space="0"/>
              <w:left w:val="single" w:color="000000" w:sz="4" w:space="0"/>
              <w:bottom w:val="single" w:color="000000" w:sz="4" w:space="0"/>
              <w:right w:val="single" w:color="000000" w:sz="4" w:space="0"/>
            </w:tcBorders>
          </w:tcPr>
          <w:p w14:paraId="3082049F">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≤5000万元</w:t>
            </w:r>
          </w:p>
        </w:tc>
        <w:tc>
          <w:tcPr>
            <w:tcW w:w="1032" w:type="dxa"/>
            <w:tcBorders>
              <w:top w:val="single" w:color="000000" w:sz="4" w:space="0"/>
              <w:left w:val="single" w:color="000000" w:sz="4" w:space="0"/>
              <w:bottom w:val="single" w:color="000000" w:sz="4" w:space="0"/>
              <w:right w:val="single" w:color="000000" w:sz="4" w:space="0"/>
            </w:tcBorders>
          </w:tcPr>
          <w:p w14:paraId="37CC763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&gt;5000万元</w:t>
            </w:r>
          </w:p>
        </w:tc>
      </w:tr>
      <w:tr w14:paraId="1F88CE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trPr>
        <w:tc>
          <w:tcPr>
            <w:tcW w:w="1756" w:type="dxa"/>
            <w:tcBorders>
              <w:top w:val="single" w:color="000000" w:sz="4" w:space="0"/>
              <w:left w:val="single" w:color="000000" w:sz="4" w:space="0"/>
              <w:bottom w:val="single" w:color="000000" w:sz="4" w:space="0"/>
              <w:right w:val="single" w:color="000000" w:sz="4" w:space="0"/>
            </w:tcBorders>
            <w:vAlign w:val="center"/>
          </w:tcPr>
          <w:p w14:paraId="66E91206">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招标控制价审核</w:t>
            </w:r>
          </w:p>
        </w:tc>
        <w:tc>
          <w:tcPr>
            <w:tcW w:w="1416" w:type="dxa"/>
            <w:tcBorders>
              <w:top w:val="single" w:color="000000" w:sz="4" w:space="0"/>
              <w:left w:val="single" w:color="000000" w:sz="4" w:space="0"/>
              <w:bottom w:val="single" w:color="000000" w:sz="4" w:space="0"/>
              <w:right w:val="single" w:color="000000" w:sz="4" w:space="0"/>
            </w:tcBorders>
            <w:vAlign w:val="center"/>
          </w:tcPr>
          <w:p w14:paraId="481D8AAB">
            <w:pPr>
              <w:bidi w:val="0"/>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送审标底价</w:t>
            </w:r>
          </w:p>
        </w:tc>
        <w:tc>
          <w:tcPr>
            <w:tcW w:w="1210" w:type="dxa"/>
            <w:tcBorders>
              <w:top w:val="single" w:color="000000" w:sz="4" w:space="0"/>
              <w:left w:val="single" w:color="000000" w:sz="4" w:space="0"/>
              <w:bottom w:val="single" w:color="000000" w:sz="4" w:space="0"/>
              <w:right w:val="single" w:color="000000" w:sz="4" w:space="0"/>
            </w:tcBorders>
            <w:vAlign w:val="center"/>
          </w:tcPr>
          <w:p w14:paraId="394CBB79">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1.35‰</w:t>
            </w:r>
          </w:p>
        </w:tc>
        <w:tc>
          <w:tcPr>
            <w:tcW w:w="1194" w:type="dxa"/>
            <w:tcBorders>
              <w:top w:val="single" w:color="000000" w:sz="4" w:space="0"/>
              <w:left w:val="single" w:color="000000" w:sz="4" w:space="0"/>
              <w:bottom w:val="single" w:color="000000" w:sz="4" w:space="0"/>
              <w:right w:val="single" w:color="000000" w:sz="4" w:space="0"/>
            </w:tcBorders>
            <w:vAlign w:val="center"/>
          </w:tcPr>
          <w:p w14:paraId="0BC893EC">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1.2‰</w:t>
            </w:r>
          </w:p>
        </w:tc>
        <w:tc>
          <w:tcPr>
            <w:tcW w:w="1209" w:type="dxa"/>
            <w:tcBorders>
              <w:top w:val="single" w:color="000000" w:sz="4" w:space="0"/>
              <w:left w:val="single" w:color="000000" w:sz="4" w:space="0"/>
              <w:bottom w:val="single" w:color="000000" w:sz="4" w:space="0"/>
              <w:right w:val="single" w:color="000000" w:sz="4" w:space="0"/>
            </w:tcBorders>
            <w:vAlign w:val="center"/>
          </w:tcPr>
          <w:p w14:paraId="19F7A075">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1.05‰</w:t>
            </w:r>
          </w:p>
        </w:tc>
        <w:tc>
          <w:tcPr>
            <w:tcW w:w="1081" w:type="dxa"/>
            <w:tcBorders>
              <w:top w:val="single" w:color="000000" w:sz="4" w:space="0"/>
              <w:left w:val="single" w:color="000000" w:sz="4" w:space="0"/>
              <w:bottom w:val="single" w:color="000000" w:sz="4" w:space="0"/>
              <w:right w:val="single" w:color="000000" w:sz="4" w:space="0"/>
            </w:tcBorders>
            <w:vAlign w:val="center"/>
          </w:tcPr>
          <w:p w14:paraId="37140C17">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0.85‰</w:t>
            </w:r>
          </w:p>
        </w:tc>
        <w:tc>
          <w:tcPr>
            <w:tcW w:w="1226" w:type="dxa"/>
            <w:tcBorders>
              <w:top w:val="single" w:color="000000" w:sz="4" w:space="0"/>
              <w:left w:val="single" w:color="000000" w:sz="4" w:space="0"/>
              <w:bottom w:val="single" w:color="000000" w:sz="4" w:space="0"/>
              <w:right w:val="single" w:color="000000" w:sz="4" w:space="0"/>
            </w:tcBorders>
            <w:vAlign w:val="center"/>
          </w:tcPr>
          <w:p w14:paraId="33EEC38A">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0.7‰</w:t>
            </w:r>
          </w:p>
        </w:tc>
        <w:tc>
          <w:tcPr>
            <w:tcW w:w="1032" w:type="dxa"/>
            <w:tcBorders>
              <w:top w:val="single" w:color="000000" w:sz="4" w:space="0"/>
              <w:left w:val="single" w:color="000000" w:sz="4" w:space="0"/>
              <w:bottom w:val="single" w:color="000000" w:sz="4" w:space="0"/>
              <w:right w:val="single" w:color="000000" w:sz="4" w:space="0"/>
            </w:tcBorders>
            <w:vAlign w:val="center"/>
          </w:tcPr>
          <w:p w14:paraId="37E7E631">
            <w:pPr>
              <w:bidi w:val="0"/>
              <w:jc w:val="center"/>
              <w:rPr>
                <w:rFonts w:hint="default"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0.55‰</w:t>
            </w:r>
          </w:p>
        </w:tc>
      </w:tr>
    </w:tbl>
    <w:p w14:paraId="3F6193A1">
      <w:pPr>
        <w:pStyle w:val="28"/>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eastAsiaTheme="minorEastAsia" w:cstheme="minorBidi"/>
          <w:color w:val="auto"/>
          <w:kern w:val="2"/>
          <w:sz w:val="24"/>
          <w:szCs w:val="24"/>
          <w:highlight w:val="none"/>
          <w:lang w:val="en-US" w:eastAsia="zh-CN" w:bidi="ar-SA"/>
        </w:rPr>
        <w:t>以工作日为单位计算报酬的计日工：</w:t>
      </w:r>
    </w:p>
    <w:p w14:paraId="091E2D60">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Bidi"/>
          <w:color w:val="auto"/>
          <w:kern w:val="2"/>
          <w:sz w:val="24"/>
          <w:szCs w:val="24"/>
          <w:highlight w:val="none"/>
          <w:lang w:val="en-US" w:eastAsia="zh-CN" w:bidi="ar-SA"/>
        </w:rPr>
      </w:pPr>
      <w:r>
        <w:rPr>
          <w:rFonts w:hint="default" w:asciiTheme="minorEastAsia" w:hAnsiTheme="minorEastAsia" w:eastAsiaTheme="minorEastAsia" w:cstheme="minorBidi"/>
          <w:color w:val="auto"/>
          <w:kern w:val="2"/>
          <w:sz w:val="24"/>
          <w:szCs w:val="24"/>
          <w:highlight w:val="none"/>
          <w:lang w:val="en-US" w:eastAsia="zh-CN" w:bidi="ar-SA"/>
        </w:rPr>
        <w:t>参照</w:t>
      </w:r>
      <w:r>
        <w:rPr>
          <w:rFonts w:hint="eastAsia" w:asciiTheme="minorEastAsia" w:hAnsiTheme="minorEastAsia" w:eastAsiaTheme="minorEastAsia" w:cstheme="minorBidi"/>
          <w:color w:val="auto"/>
          <w:kern w:val="2"/>
          <w:sz w:val="24"/>
          <w:szCs w:val="24"/>
          <w:highlight w:val="none"/>
          <w:lang w:val="en-US" w:eastAsia="zh-CN" w:bidi="ar-SA"/>
        </w:rPr>
        <w:t>《关于</w:t>
      </w:r>
      <w:r>
        <w:rPr>
          <w:rFonts w:hint="default" w:asciiTheme="minorEastAsia" w:hAnsiTheme="minorEastAsia" w:eastAsiaTheme="minorEastAsia" w:cstheme="minorBidi"/>
          <w:color w:val="auto"/>
          <w:kern w:val="2"/>
          <w:sz w:val="24"/>
          <w:szCs w:val="24"/>
          <w:highlight w:val="none"/>
          <w:lang w:val="en-US" w:eastAsia="zh-CN" w:bidi="ar-SA"/>
        </w:rPr>
        <w:t>2022-2023</w:t>
      </w:r>
      <w:r>
        <w:rPr>
          <w:rFonts w:hint="eastAsia" w:asciiTheme="minorEastAsia" w:hAnsiTheme="minorEastAsia" w:eastAsiaTheme="minorEastAsia" w:cstheme="minorBidi"/>
          <w:color w:val="auto"/>
          <w:kern w:val="2"/>
          <w:sz w:val="24"/>
          <w:szCs w:val="24"/>
          <w:highlight w:val="none"/>
          <w:lang w:val="en-US" w:eastAsia="zh-CN" w:bidi="ar-SA"/>
        </w:rPr>
        <w:t>年度市行政事业单位审计服务—工程造价审计定点采购的通知》（锡详见财购〔2022〕8号）规定的计日工标准的</w:t>
      </w:r>
      <w:r>
        <w:rPr>
          <w:rFonts w:hint="eastAsia" w:asciiTheme="minorEastAsia" w:hAnsiTheme="minorEastAsia" w:eastAsiaTheme="minorEastAsia" w:cstheme="minorBidi"/>
          <w:color w:val="auto"/>
          <w:kern w:val="2"/>
          <w:sz w:val="24"/>
          <w:szCs w:val="24"/>
          <w:highlight w:val="none"/>
          <w:u w:val="single"/>
          <w:lang w:val="en-US" w:eastAsia="zh-CN" w:bidi="ar-SA"/>
        </w:rPr>
        <w:t xml:space="preserve"> 70% </w:t>
      </w:r>
      <w:r>
        <w:rPr>
          <w:rFonts w:hint="eastAsia" w:asciiTheme="minorEastAsia" w:hAnsiTheme="minorEastAsia" w:eastAsiaTheme="minorEastAsia" w:cstheme="minorBidi"/>
          <w:color w:val="auto"/>
          <w:kern w:val="2"/>
          <w:sz w:val="24"/>
          <w:szCs w:val="24"/>
          <w:highlight w:val="none"/>
          <w:lang w:val="en-US" w:eastAsia="zh-CN" w:bidi="ar-SA"/>
        </w:rPr>
        <w:t>计取，具体费用如下：注册造价工程师1200元/人·天（含税）；一般工程协审人员600元/人·天（含税）。</w:t>
      </w:r>
    </w:p>
    <w:p w14:paraId="152B1FC1">
      <w:pPr>
        <w:spacing w:line="360" w:lineRule="auto"/>
        <w:ind w:firstLine="480" w:firstLineChars="200"/>
        <w:contextualSpacing/>
        <w:rPr>
          <w:rFonts w:ascii="宋体" w:hAnsi="宋体"/>
          <w:bCs/>
          <w:color w:val="auto"/>
          <w:sz w:val="24"/>
          <w:highlight w:val="none"/>
        </w:rPr>
      </w:pPr>
      <w:r>
        <w:rPr>
          <w:rFonts w:hint="eastAsia" w:ascii="宋体" w:hAnsi="宋体"/>
          <w:bCs/>
          <w:color w:val="auto"/>
          <w:sz w:val="24"/>
          <w:highlight w:val="none"/>
        </w:rPr>
        <w:t>2、</w:t>
      </w:r>
      <w:r>
        <w:rPr>
          <w:rFonts w:hint="eastAsia" w:ascii="宋体" w:hAnsi="宋体"/>
          <w:bCs/>
          <w:color w:val="auto"/>
          <w:sz w:val="24"/>
          <w:highlight w:val="none"/>
          <w:lang w:val="en-US" w:eastAsia="zh-CN"/>
        </w:rPr>
        <w:t>财政部门</w:t>
      </w:r>
      <w:r>
        <w:rPr>
          <w:rFonts w:hint="eastAsia" w:ascii="宋体" w:hAnsi="宋体"/>
          <w:bCs/>
          <w:color w:val="auto"/>
          <w:sz w:val="24"/>
          <w:highlight w:val="none"/>
        </w:rPr>
        <w:t>如聘请专业技术人员进行辅助性复核工作，</w:t>
      </w:r>
      <w:r>
        <w:rPr>
          <w:rFonts w:hint="eastAsia" w:ascii="宋体" w:hAnsi="宋体"/>
          <w:bCs/>
          <w:color w:val="auto"/>
          <w:sz w:val="24"/>
          <w:highlight w:val="none"/>
          <w:lang w:val="en-US" w:eastAsia="zh-CN"/>
        </w:rPr>
        <w:t>服务费用按征集文件规定计取</w:t>
      </w:r>
      <w:r>
        <w:rPr>
          <w:rFonts w:hint="eastAsia" w:ascii="宋体" w:hAnsi="宋体"/>
          <w:bCs/>
          <w:color w:val="auto"/>
          <w:sz w:val="24"/>
          <w:highlight w:val="none"/>
        </w:rPr>
        <w:t>。</w:t>
      </w:r>
    </w:p>
    <w:p w14:paraId="76F3B240">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1.4.2 发票开具方式：</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开具增值税发票</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7889B667">
      <w:pPr>
        <w:spacing w:line="560" w:lineRule="exact"/>
        <w:ind w:firstLine="482" w:firstLineChars="200"/>
        <w:rPr>
          <w:rFonts w:hint="eastAsia" w:ascii="宋体" w:hAnsi="宋体" w:cs="宋体"/>
          <w:b/>
          <w:color w:val="auto"/>
          <w:sz w:val="24"/>
          <w:szCs w:val="24"/>
          <w:highlight w:val="none"/>
        </w:rPr>
      </w:pPr>
      <w:bookmarkStart w:id="47" w:name="_Toc8772"/>
      <w:bookmarkStart w:id="48" w:name="_Toc4760"/>
      <w:bookmarkStart w:id="49" w:name="_Toc31421"/>
      <w:bookmarkStart w:id="50" w:name="_Toc3625"/>
      <w:bookmarkStart w:id="51" w:name="_Toc11108"/>
      <w:r>
        <w:rPr>
          <w:rFonts w:hint="eastAsia" w:ascii="宋体" w:hAnsi="宋体" w:cs="宋体"/>
          <w:b/>
          <w:color w:val="auto"/>
          <w:sz w:val="24"/>
          <w:szCs w:val="24"/>
          <w:highlight w:val="none"/>
        </w:rPr>
        <w:t>1.5 履行期限、地点和方式</w:t>
      </w:r>
      <w:bookmarkEnd w:id="47"/>
      <w:bookmarkEnd w:id="48"/>
      <w:bookmarkEnd w:id="49"/>
      <w:bookmarkEnd w:id="50"/>
      <w:bookmarkEnd w:id="51"/>
    </w:p>
    <w:p w14:paraId="044F6FA2">
      <w:pPr>
        <w:spacing w:line="560" w:lineRule="exact"/>
        <w:ind w:firstLine="480" w:firstLineChars="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1.5.1 履行期限：</w:t>
      </w:r>
      <w:r>
        <w:rPr>
          <w:rFonts w:hint="eastAsia" w:ascii="宋体" w:hAnsi="宋体" w:cs="宋体"/>
          <w:color w:val="auto"/>
          <w:sz w:val="24"/>
          <w:szCs w:val="24"/>
          <w:highlight w:val="none"/>
          <w:u w:val="single"/>
        </w:rPr>
        <w:t xml:space="preserve">  自合同签订之日起至项目审计结束期内有效，若项目接受宜兴市监察委员会抽复审，则该合同至抽复审结束期内有效   </w:t>
      </w:r>
      <w:r>
        <w:rPr>
          <w:rFonts w:hint="eastAsia" w:ascii="宋体" w:hAnsi="宋体" w:cs="宋体"/>
          <w:color w:val="auto"/>
          <w:sz w:val="24"/>
          <w:szCs w:val="24"/>
          <w:highlight w:val="none"/>
        </w:rPr>
        <w:t>；</w:t>
      </w:r>
    </w:p>
    <w:p w14:paraId="20C4B4A6">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1.5.2 履行地点：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征集人指定地点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2A2692F2">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1.5.3 履行方式：</w:t>
      </w:r>
      <w:r>
        <w:rPr>
          <w:rFonts w:hint="eastAsia" w:ascii="宋体" w:hAnsi="宋体" w:cs="宋体"/>
          <w:color w:val="auto"/>
          <w:sz w:val="24"/>
          <w:szCs w:val="24"/>
          <w:highlight w:val="none"/>
          <w:u w:val="single"/>
        </w:rPr>
        <w:t>　</w:t>
      </w:r>
      <w:r>
        <w:rPr>
          <w:rFonts w:hint="eastAsia" w:ascii="宋体" w:hAnsi="宋体" w:cs="宋体"/>
          <w:color w:val="auto"/>
          <w:sz w:val="24"/>
          <w:szCs w:val="24"/>
          <w:highlight w:val="none"/>
          <w:u w:val="single"/>
          <w:lang w:val="en-US" w:eastAsia="zh-CN"/>
        </w:rPr>
        <w:t>现场交付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75E13511">
      <w:pPr>
        <w:spacing w:line="560" w:lineRule="exact"/>
        <w:ind w:firstLine="482" w:firstLineChars="200"/>
        <w:rPr>
          <w:rFonts w:hint="eastAsia" w:ascii="宋体" w:hAnsi="宋体" w:cs="宋体"/>
          <w:color w:val="auto"/>
          <w:sz w:val="24"/>
          <w:szCs w:val="24"/>
          <w:highlight w:val="none"/>
          <w:u w:val="single"/>
        </w:rPr>
      </w:pPr>
      <w:bookmarkStart w:id="52" w:name="_Toc3079"/>
      <w:bookmarkStart w:id="53" w:name="_Toc24662"/>
      <w:bookmarkStart w:id="54" w:name="_Toc8586"/>
      <w:bookmarkStart w:id="55" w:name="_Toc2375"/>
      <w:bookmarkStart w:id="56" w:name="_Toc5698"/>
      <w:r>
        <w:rPr>
          <w:rFonts w:hint="eastAsia" w:ascii="宋体" w:hAnsi="宋体" w:cs="宋体"/>
          <w:b/>
          <w:color w:val="auto"/>
          <w:sz w:val="24"/>
          <w:szCs w:val="24"/>
          <w:highlight w:val="none"/>
        </w:rPr>
        <w:t>1.6 违约责任</w:t>
      </w:r>
      <w:bookmarkEnd w:id="52"/>
      <w:bookmarkEnd w:id="53"/>
      <w:bookmarkEnd w:id="54"/>
      <w:bookmarkEnd w:id="55"/>
      <w:bookmarkEnd w:id="56"/>
    </w:p>
    <w:p w14:paraId="468C427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1.6.1 除不可抗力外，如果乙方没有按照本合同约定的期限、地点和方式履行，那么甲方可要求乙方支付违约金，违约金按每迟延履行一日的应提供而未提供服务价格的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%计算，最高限额为本合同总价的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%；迟延履行的违约金计算数额达到前述最高限额之日起，甲方有权在要求乙方支付违约金的同时，书面通知乙方解除本合同；</w:t>
      </w:r>
    </w:p>
    <w:p w14:paraId="74EE8B19">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1.6.2 除不可抗力外，如果甲方没有按照本合同约定的付款方式付款，那么乙方可要求甲方支付违约金，违约金按每迟延付款一日的应付而未付款的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%计算，最高限额为本合同总价的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%；迟延付款的违约金计算数额达到前述最高限额之日起，乙方有权在要求甲方支付违约金的同时，书面通知甲方解除本合同；</w:t>
      </w:r>
    </w:p>
    <w:p w14:paraId="46CEA56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71B6F52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B2088F9">
      <w:pPr>
        <w:spacing w:line="560" w:lineRule="exact"/>
        <w:ind w:firstLine="480" w:firstLineChars="200"/>
        <w:rPr>
          <w:rFonts w:hint="eastAsia" w:ascii="宋体" w:hAnsi="宋体" w:cs="宋体"/>
          <w:color w:val="auto"/>
          <w:sz w:val="24"/>
          <w:szCs w:val="24"/>
          <w:highlight w:val="none"/>
        </w:rPr>
      </w:pPr>
      <w:r>
        <w:rPr>
          <w:rFonts w:hint="eastAsia" w:ascii="宋体" w:hAnsi="宋体"/>
          <w:bCs/>
          <w:color w:val="auto"/>
          <w:sz w:val="24"/>
          <w:highlight w:val="none"/>
        </w:rPr>
        <w:t xml:space="preserve">1.6.5 </w:t>
      </w:r>
      <w:r>
        <w:rPr>
          <w:rFonts w:hint="eastAsia" w:ascii="宋体" w:hAnsi="宋体"/>
          <w:bCs/>
          <w:color w:val="auto"/>
          <w:sz w:val="24"/>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745D6828">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1.6.6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4D7C037">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1.6.7 如果出现政府采购监督管理部门在处理投诉事项期间，书面通知甲方暂停采购活动的情形，或者询问或质疑事项可能影响中标结果的，导致甲方中止履行合同的情形，均不视为甲方违约。</w:t>
      </w:r>
    </w:p>
    <w:p w14:paraId="175F18B1">
      <w:pPr>
        <w:spacing w:line="560" w:lineRule="exact"/>
        <w:ind w:firstLine="482" w:firstLineChars="200"/>
        <w:rPr>
          <w:rFonts w:hint="eastAsia" w:ascii="宋体" w:hAnsi="宋体" w:cs="宋体"/>
          <w:b/>
          <w:color w:val="auto"/>
          <w:sz w:val="24"/>
          <w:szCs w:val="24"/>
          <w:highlight w:val="none"/>
        </w:rPr>
      </w:pPr>
      <w:bookmarkStart w:id="57" w:name="_Toc18683"/>
      <w:bookmarkStart w:id="58" w:name="_Toc26807"/>
      <w:bookmarkStart w:id="59" w:name="_Toc9497"/>
      <w:bookmarkStart w:id="60" w:name="_Toc32454"/>
      <w:bookmarkStart w:id="61" w:name="_Toc30329"/>
      <w:r>
        <w:rPr>
          <w:rFonts w:hint="eastAsia" w:ascii="宋体" w:hAnsi="宋体" w:cs="宋体"/>
          <w:b/>
          <w:color w:val="auto"/>
          <w:sz w:val="24"/>
          <w:szCs w:val="24"/>
          <w:highlight w:val="none"/>
        </w:rPr>
        <w:t>1.7 合同争议的解决</w:t>
      </w:r>
      <w:bookmarkEnd w:id="57"/>
      <w:bookmarkEnd w:id="58"/>
      <w:bookmarkEnd w:id="59"/>
      <w:bookmarkEnd w:id="60"/>
      <w:bookmarkEnd w:id="61"/>
      <w:bookmarkStart w:id="199" w:name="_GoBack"/>
      <w:bookmarkEnd w:id="199"/>
    </w:p>
    <w:p w14:paraId="74144C42">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1.7.1 凡因本合同引起的或与本合同有关的任何争议，均提交无锡仲裁委员会，按照申请仲裁时该会的仲裁规则进行仲裁。</w:t>
      </w:r>
    </w:p>
    <w:p w14:paraId="490F2A34">
      <w:pPr>
        <w:spacing w:line="560" w:lineRule="exact"/>
        <w:ind w:firstLine="482" w:firstLineChars="200"/>
        <w:rPr>
          <w:rFonts w:hint="eastAsia" w:ascii="宋体" w:hAnsi="宋体" w:cs="宋体"/>
          <w:b/>
          <w:color w:val="auto"/>
          <w:sz w:val="24"/>
          <w:szCs w:val="24"/>
          <w:highlight w:val="none"/>
        </w:rPr>
      </w:pPr>
      <w:bookmarkStart w:id="62" w:name="_Toc15827"/>
      <w:bookmarkStart w:id="63" w:name="_Toc23784"/>
      <w:bookmarkStart w:id="64" w:name="_Toc12273"/>
      <w:bookmarkStart w:id="65" w:name="_Toc26227"/>
      <w:bookmarkStart w:id="66" w:name="_Toc16417"/>
      <w:r>
        <w:rPr>
          <w:rFonts w:hint="eastAsia" w:ascii="宋体" w:hAnsi="宋体" w:cs="宋体"/>
          <w:b/>
          <w:color w:val="auto"/>
          <w:sz w:val="24"/>
          <w:szCs w:val="24"/>
          <w:highlight w:val="none"/>
        </w:rPr>
        <w:t>1.8 合同生效</w:t>
      </w:r>
      <w:bookmarkEnd w:id="62"/>
      <w:bookmarkEnd w:id="63"/>
      <w:bookmarkEnd w:id="64"/>
      <w:bookmarkEnd w:id="65"/>
      <w:bookmarkEnd w:id="66"/>
    </w:p>
    <w:p w14:paraId="38E5FEA2">
      <w:pPr>
        <w:spacing w:line="56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1.8.1 本合同</w:t>
      </w:r>
      <w:r>
        <w:rPr>
          <w:rFonts w:hint="eastAsia" w:ascii="宋体" w:hAnsi="宋体" w:cs="宋体"/>
          <w:color w:val="auto"/>
          <w:sz w:val="24"/>
          <w:highlight w:val="none"/>
          <w:lang w:val="zh-CN"/>
        </w:rPr>
        <w:t>经甲乙双方代表签字并加盖公章（或合同章）后即生效。</w:t>
      </w:r>
    </w:p>
    <w:p w14:paraId="64E2D950">
      <w:pPr>
        <w:autoSpaceDE w:val="0"/>
        <w:autoSpaceDN w:val="0"/>
        <w:adjustRightInd w:val="0"/>
        <w:spacing w:line="560" w:lineRule="exact"/>
        <w:ind w:firstLine="480"/>
        <w:rPr>
          <w:rFonts w:hint="eastAsia" w:ascii="宋体" w:hAnsi="宋体" w:cs="宋体"/>
          <w:color w:val="auto"/>
          <w:sz w:val="24"/>
          <w:highlight w:val="none"/>
        </w:rPr>
      </w:pPr>
      <w:r>
        <w:rPr>
          <w:rFonts w:hint="eastAsia" w:ascii="宋体" w:hAnsi="宋体" w:cs="宋体"/>
          <w:color w:val="auto"/>
          <w:sz w:val="24"/>
          <w:highlight w:val="none"/>
        </w:rPr>
        <w:t>1.8.2 本合同一式叁份，供需双方各持一份，报送财政监管部门备案一份。</w:t>
      </w:r>
    </w:p>
    <w:p w14:paraId="03C9B911">
      <w:pPr>
        <w:autoSpaceDE w:val="0"/>
        <w:autoSpaceDN w:val="0"/>
        <w:adjustRightInd w:val="0"/>
        <w:spacing w:line="560" w:lineRule="exact"/>
        <w:ind w:firstLine="480"/>
        <w:rPr>
          <w:rFonts w:hint="eastAsia" w:ascii="宋体" w:hAnsi="宋体" w:cs="宋体"/>
          <w:color w:val="auto"/>
          <w:sz w:val="24"/>
          <w:highlight w:val="none"/>
        </w:rPr>
      </w:pPr>
    </w:p>
    <w:p w14:paraId="7FC74AA5">
      <w:pPr>
        <w:autoSpaceDE w:val="0"/>
        <w:autoSpaceDN w:val="0"/>
        <w:adjustRightInd w:val="0"/>
        <w:spacing w:line="560" w:lineRule="exact"/>
        <w:ind w:firstLine="480"/>
        <w:rPr>
          <w:rFonts w:hint="eastAsia" w:ascii="宋体" w:hAnsi="宋体" w:cs="宋体"/>
          <w:color w:val="auto"/>
          <w:sz w:val="24"/>
          <w:highlight w:val="none"/>
        </w:rPr>
      </w:pPr>
    </w:p>
    <w:p w14:paraId="1AFB0983">
      <w:pPr>
        <w:autoSpaceDE w:val="0"/>
        <w:autoSpaceDN w:val="0"/>
        <w:adjustRightInd w:val="0"/>
        <w:spacing w:line="560" w:lineRule="exact"/>
        <w:ind w:firstLine="1265" w:firstLineChars="525"/>
        <w:rPr>
          <w:rFonts w:hint="eastAsia" w:ascii="宋体" w:hAnsi="宋体" w:cs="宋体"/>
          <w:color w:val="auto"/>
          <w:sz w:val="24"/>
          <w:szCs w:val="24"/>
          <w:highlight w:val="none"/>
          <w:lang w:val="zh-CN"/>
        </w:rPr>
      </w:pPr>
      <w:r>
        <w:rPr>
          <w:rFonts w:hint="eastAsia" w:ascii="宋体" w:hAnsi="宋体" w:cs="宋体"/>
          <w:b/>
          <w:color w:val="auto"/>
          <w:sz w:val="24"/>
          <w:szCs w:val="24"/>
          <w:highlight w:val="none"/>
          <w:lang w:val="zh-CN"/>
        </w:rPr>
        <w:t>甲方</w:t>
      </w:r>
      <w:r>
        <w:rPr>
          <w:rFonts w:hint="eastAsia" w:ascii="宋体" w:hAnsi="宋体" w:cs="宋体"/>
          <w:color w:val="auto"/>
          <w:sz w:val="24"/>
          <w:szCs w:val="24"/>
          <w:highlight w:val="none"/>
          <w:lang w:val="zh-CN"/>
        </w:rPr>
        <w:t xml:space="preserve">：                             </w:t>
      </w:r>
      <w:r>
        <w:rPr>
          <w:rFonts w:hint="eastAsia" w:ascii="宋体" w:hAnsi="宋体" w:cs="宋体"/>
          <w:b/>
          <w:color w:val="auto"/>
          <w:sz w:val="24"/>
          <w:szCs w:val="24"/>
          <w:highlight w:val="none"/>
          <w:lang w:val="zh-CN"/>
        </w:rPr>
        <w:t xml:space="preserve">      乙方</w:t>
      </w:r>
      <w:r>
        <w:rPr>
          <w:rFonts w:hint="eastAsia" w:ascii="宋体" w:hAnsi="宋体" w:cs="宋体"/>
          <w:color w:val="auto"/>
          <w:sz w:val="24"/>
          <w:szCs w:val="24"/>
          <w:highlight w:val="none"/>
          <w:lang w:val="zh-CN"/>
        </w:rPr>
        <w:t>：</w:t>
      </w:r>
    </w:p>
    <w:p w14:paraId="2F0F6B29">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统一社会信用代码：                        统一社会信用代码或身份证号码：</w:t>
      </w:r>
    </w:p>
    <w:p w14:paraId="6C84E947">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p>
    <w:p w14:paraId="54E58B35">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住所：                                   住所：</w:t>
      </w:r>
    </w:p>
    <w:p w14:paraId="00FEBE34">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法定代表人或                             法定代表人</w:t>
      </w:r>
    </w:p>
    <w:p w14:paraId="6864FAD4">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 xml:space="preserve">授权代表（签字）：                        或授权代表（签字）: </w:t>
      </w:r>
    </w:p>
    <w:p w14:paraId="0715F1D7">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联系人：                                 联系人：</w:t>
      </w:r>
    </w:p>
    <w:p w14:paraId="171FC4D6">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约定送达地址：                           约定送达地址：</w:t>
      </w:r>
    </w:p>
    <w:p w14:paraId="33954D68">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邮政编码：                               邮政编码：</w:t>
      </w:r>
    </w:p>
    <w:p w14:paraId="1E9ACBC7">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 xml:space="preserve">电话:                                    电话: </w:t>
      </w:r>
    </w:p>
    <w:p w14:paraId="0360B8B5">
      <w:pPr>
        <w:autoSpaceDE w:val="0"/>
        <w:autoSpaceDN w:val="0"/>
        <w:adjustRightInd w:val="0"/>
        <w:spacing w:line="560" w:lineRule="exact"/>
        <w:ind w:firstLine="1260" w:firstLineChars="525"/>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传真:                                    传真:</w:t>
      </w:r>
    </w:p>
    <w:p w14:paraId="33AB284E">
      <w:pPr>
        <w:autoSpaceDE w:val="0"/>
        <w:autoSpaceDN w:val="0"/>
        <w:adjustRightInd w:val="0"/>
        <w:spacing w:line="560" w:lineRule="exact"/>
        <w:ind w:firstLine="1260" w:firstLineChars="525"/>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电子邮箱：                               电子邮箱：</w:t>
      </w:r>
    </w:p>
    <w:p w14:paraId="2E48A824">
      <w:pPr>
        <w:autoSpaceDE w:val="0"/>
        <w:autoSpaceDN w:val="0"/>
        <w:adjustRightInd w:val="0"/>
        <w:spacing w:line="560" w:lineRule="exact"/>
        <w:ind w:firstLine="1260" w:firstLineChars="525"/>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开户银行：                               开户银行： </w:t>
      </w:r>
    </w:p>
    <w:p w14:paraId="2F94E067">
      <w:pPr>
        <w:autoSpaceDE w:val="0"/>
        <w:autoSpaceDN w:val="0"/>
        <w:adjustRightInd w:val="0"/>
        <w:spacing w:line="560" w:lineRule="exact"/>
        <w:ind w:firstLine="1260" w:firstLineChars="525"/>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开户名称：                               开户名称： </w:t>
      </w:r>
    </w:p>
    <w:p w14:paraId="1E202126">
      <w:pPr>
        <w:autoSpaceDE w:val="0"/>
        <w:autoSpaceDN w:val="0"/>
        <w:adjustRightInd w:val="0"/>
        <w:spacing w:line="560" w:lineRule="exact"/>
        <w:ind w:firstLine="1260" w:firstLineChars="525"/>
        <w:rPr>
          <w:rFonts w:hint="eastAsia" w:ascii="宋体" w:hAnsi="宋体" w:cs="宋体"/>
          <w:b/>
          <w:color w:val="auto"/>
          <w:kern w:val="0"/>
          <w:sz w:val="24"/>
          <w:szCs w:val="24"/>
          <w:highlight w:val="none"/>
        </w:rPr>
      </w:pPr>
      <w:r>
        <w:rPr>
          <w:rFonts w:hint="eastAsia" w:ascii="宋体" w:hAnsi="宋体" w:cs="宋体"/>
          <w:color w:val="auto"/>
          <w:sz w:val="24"/>
          <w:szCs w:val="24"/>
          <w:highlight w:val="none"/>
        </w:rPr>
        <w:t>开户账号：</w:t>
      </w:r>
      <w:r>
        <w:rPr>
          <w:rFonts w:hint="eastAsia" w:ascii="宋体" w:hAnsi="宋体" w:cs="宋体"/>
          <w:color w:val="auto"/>
          <w:sz w:val="24"/>
          <w:szCs w:val="24"/>
          <w:highlight w:val="none"/>
          <w:lang w:val="zh-CN"/>
        </w:rPr>
        <w:t xml:space="preserve">                               </w:t>
      </w:r>
      <w:r>
        <w:rPr>
          <w:rFonts w:hint="eastAsia" w:ascii="宋体" w:hAnsi="宋体" w:cs="宋体"/>
          <w:color w:val="auto"/>
          <w:sz w:val="24"/>
          <w:szCs w:val="24"/>
          <w:highlight w:val="none"/>
        </w:rPr>
        <w:t>开户账号：</w:t>
      </w:r>
      <w:bookmarkStart w:id="67" w:name="_Toc331685783"/>
    </w:p>
    <w:p w14:paraId="1EA317B1">
      <w:pPr>
        <w:widowControl/>
        <w:spacing w:line="560" w:lineRule="exact"/>
        <w:jc w:val="left"/>
        <w:rPr>
          <w:rFonts w:hint="eastAsia" w:ascii="宋体" w:hAnsi="宋体" w:cs="宋体"/>
          <w:b/>
          <w:color w:val="auto"/>
          <w:kern w:val="0"/>
          <w:sz w:val="24"/>
          <w:szCs w:val="24"/>
          <w:highlight w:val="none"/>
        </w:rPr>
      </w:pPr>
    </w:p>
    <w:p w14:paraId="57775F77">
      <w:pPr>
        <w:pStyle w:val="51"/>
        <w:keepNext w:val="0"/>
        <w:keepLines w:val="0"/>
        <w:pageBreakBefore/>
        <w:widowControl w:val="0"/>
        <w:kinsoku/>
        <w:wordWrap/>
        <w:overflowPunct/>
        <w:topLinePunct w:val="0"/>
        <w:autoSpaceDE w:val="0"/>
        <w:autoSpaceDN w:val="0"/>
        <w:bidi w:val="0"/>
        <w:adjustRightInd w:val="0"/>
        <w:snapToGrid/>
        <w:spacing w:line="560" w:lineRule="exact"/>
        <w:ind w:firstLine="198"/>
        <w:jc w:val="center"/>
        <w:textAlignment w:val="auto"/>
        <w:rPr>
          <w:rFonts w:hint="eastAsia" w:hAnsi="宋体" w:cs="宋体"/>
          <w:b/>
          <w:color w:val="auto"/>
          <w:szCs w:val="24"/>
          <w:highlight w:val="none"/>
        </w:rPr>
      </w:pPr>
      <w:r>
        <w:rPr>
          <w:rFonts w:hint="eastAsia" w:hAnsi="宋体" w:cs="宋体"/>
          <w:b/>
          <w:color w:val="auto"/>
          <w:szCs w:val="24"/>
          <w:highlight w:val="none"/>
        </w:rPr>
        <w:t>第二部分 合同一般条款</w:t>
      </w:r>
      <w:bookmarkEnd w:id="67"/>
    </w:p>
    <w:p w14:paraId="2DFD5184">
      <w:pPr>
        <w:spacing w:line="560" w:lineRule="exact"/>
        <w:ind w:firstLine="482" w:firstLineChars="200"/>
        <w:rPr>
          <w:rFonts w:hint="eastAsia" w:ascii="宋体" w:hAnsi="宋体" w:cs="宋体"/>
          <w:b/>
          <w:color w:val="auto"/>
          <w:sz w:val="24"/>
          <w:szCs w:val="24"/>
          <w:highlight w:val="none"/>
        </w:rPr>
      </w:pPr>
      <w:bookmarkStart w:id="68" w:name="_Ref467379205"/>
      <w:bookmarkStart w:id="69" w:name="_Toc19680"/>
      <w:bookmarkStart w:id="70" w:name="_Toc279701240"/>
      <w:bookmarkStart w:id="71" w:name="_Ref467379225"/>
      <w:bookmarkStart w:id="72" w:name="_Ref467379109"/>
      <w:bookmarkStart w:id="73" w:name="_Ref467379214"/>
      <w:bookmarkStart w:id="74" w:name="_Ref467378499"/>
      <w:bookmarkStart w:id="75" w:name="_Ref467379195"/>
      <w:bookmarkStart w:id="76" w:name="_Toc31297"/>
      <w:bookmarkStart w:id="77" w:name="_Toc487900349"/>
      <w:bookmarkStart w:id="78" w:name="_Toc259093669"/>
      <w:bookmarkStart w:id="79" w:name="_Ref467378404"/>
      <w:bookmarkStart w:id="80" w:name="_Ref467379094"/>
      <w:bookmarkStart w:id="81" w:name="_Toc5228"/>
      <w:bookmarkStart w:id="82" w:name="_Ref467379101"/>
      <w:bookmarkStart w:id="83" w:name="_Toc25079"/>
      <w:bookmarkStart w:id="84" w:name="_Toc14021"/>
      <w:bookmarkStart w:id="85" w:name="_Ref467378463"/>
      <w:r>
        <w:rPr>
          <w:rFonts w:hint="eastAsia" w:ascii="宋体" w:hAnsi="宋体" w:cs="宋体"/>
          <w:b/>
          <w:color w:val="auto"/>
          <w:sz w:val="24"/>
          <w:szCs w:val="24"/>
          <w:highlight w:val="none"/>
        </w:rPr>
        <w:t>2.1 定义</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78B7AC33">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本合同中的下列词语应按以下内容进行解释：</w:t>
      </w:r>
    </w:p>
    <w:p w14:paraId="3E1D1F4B">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2.1.1 “合同”系指</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和</w:t>
      </w:r>
      <w:r>
        <w:rPr>
          <w:rFonts w:hint="eastAsia" w:ascii="宋体" w:hAnsi="宋体" w:cs="宋体"/>
          <w:color w:val="auto"/>
          <w:sz w:val="24"/>
          <w:szCs w:val="24"/>
          <w:highlight w:val="none"/>
          <w:lang w:eastAsia="zh-CN"/>
        </w:rPr>
        <w:t>入围供应商</w:t>
      </w:r>
      <w:r>
        <w:rPr>
          <w:rFonts w:hint="eastAsia" w:ascii="宋体" w:hAnsi="宋体" w:cs="宋体"/>
          <w:color w:val="auto"/>
          <w:sz w:val="24"/>
          <w:szCs w:val="24"/>
          <w:highlight w:val="none"/>
        </w:rPr>
        <w:t>签订的载明双方当事人所达成的协议，并包括所有的附件、附录和构成合同的其他文件。</w:t>
      </w:r>
    </w:p>
    <w:p w14:paraId="157E1647">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2.1.2 “合同价”系指根据合同约定，</w:t>
      </w:r>
      <w:r>
        <w:rPr>
          <w:rFonts w:hint="eastAsia" w:ascii="宋体" w:hAnsi="宋体" w:cs="宋体"/>
          <w:color w:val="auto"/>
          <w:sz w:val="24"/>
          <w:szCs w:val="24"/>
          <w:highlight w:val="none"/>
          <w:lang w:eastAsia="zh-CN"/>
        </w:rPr>
        <w:t>入围供应商</w:t>
      </w:r>
      <w:r>
        <w:rPr>
          <w:rFonts w:hint="eastAsia" w:ascii="宋体" w:hAnsi="宋体" w:cs="宋体"/>
          <w:color w:val="auto"/>
          <w:sz w:val="24"/>
          <w:szCs w:val="24"/>
          <w:highlight w:val="none"/>
        </w:rPr>
        <w:t>在完全履行合同义务后，</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应支付给</w:t>
      </w:r>
      <w:r>
        <w:rPr>
          <w:rFonts w:hint="eastAsia" w:ascii="宋体" w:hAnsi="宋体" w:cs="宋体"/>
          <w:color w:val="auto"/>
          <w:sz w:val="24"/>
          <w:szCs w:val="24"/>
          <w:highlight w:val="none"/>
          <w:lang w:eastAsia="zh-CN"/>
        </w:rPr>
        <w:t>入围供应商</w:t>
      </w:r>
      <w:r>
        <w:rPr>
          <w:rFonts w:hint="eastAsia" w:ascii="宋体" w:hAnsi="宋体" w:cs="宋体"/>
          <w:color w:val="auto"/>
          <w:sz w:val="24"/>
          <w:szCs w:val="24"/>
          <w:highlight w:val="none"/>
        </w:rPr>
        <w:t>的价格。</w:t>
      </w:r>
    </w:p>
    <w:p w14:paraId="04B28EAE">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2.1.3 “服务”系指</w:t>
      </w:r>
      <w:r>
        <w:rPr>
          <w:rFonts w:hint="eastAsia" w:ascii="宋体" w:hAnsi="宋体" w:cs="宋体"/>
          <w:color w:val="auto"/>
          <w:sz w:val="24"/>
          <w:szCs w:val="24"/>
          <w:highlight w:val="none"/>
          <w:lang w:eastAsia="zh-CN"/>
        </w:rPr>
        <w:t>入围供应商</w:t>
      </w:r>
      <w:r>
        <w:rPr>
          <w:rFonts w:hint="eastAsia" w:ascii="宋体" w:hAnsi="宋体" w:cs="宋体"/>
          <w:color w:val="auto"/>
          <w:sz w:val="24"/>
          <w:szCs w:val="24"/>
          <w:highlight w:val="none"/>
        </w:rPr>
        <w:t>根据合同约定应向</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履行的除货物和工程以外的其他政府采购对象，包括</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自身需要的服务和向社会公众提供的公共服务。</w:t>
      </w:r>
    </w:p>
    <w:p w14:paraId="2520CCAD">
      <w:pPr>
        <w:spacing w:line="560" w:lineRule="exact"/>
        <w:ind w:firstLine="480" w:firstLineChars="200"/>
        <w:rPr>
          <w:rFonts w:hint="eastAsia" w:ascii="宋体" w:hAnsi="宋体" w:cs="宋体"/>
          <w:color w:val="auto"/>
          <w:sz w:val="24"/>
          <w:szCs w:val="24"/>
          <w:highlight w:val="none"/>
        </w:rPr>
      </w:pPr>
      <w:bookmarkStart w:id="86" w:name="_Ref467378840"/>
      <w:r>
        <w:rPr>
          <w:rFonts w:hint="eastAsia" w:ascii="宋体" w:hAnsi="宋体" w:cs="宋体"/>
          <w:color w:val="auto"/>
          <w:sz w:val="24"/>
          <w:szCs w:val="24"/>
          <w:highlight w:val="none"/>
        </w:rPr>
        <w:t>2.1.4 “甲方”系指与</w:t>
      </w:r>
      <w:r>
        <w:rPr>
          <w:rFonts w:hint="eastAsia" w:ascii="宋体" w:hAnsi="宋体" w:cs="宋体"/>
          <w:color w:val="auto"/>
          <w:sz w:val="24"/>
          <w:szCs w:val="24"/>
          <w:highlight w:val="none"/>
          <w:lang w:eastAsia="zh-CN"/>
        </w:rPr>
        <w:t>入围供应商</w:t>
      </w:r>
      <w:r>
        <w:rPr>
          <w:rFonts w:hint="eastAsia" w:ascii="宋体" w:hAnsi="宋体" w:cs="宋体"/>
          <w:color w:val="auto"/>
          <w:sz w:val="24"/>
          <w:szCs w:val="24"/>
          <w:highlight w:val="none"/>
        </w:rPr>
        <w:t>签署合同的</w:t>
      </w:r>
      <w:bookmarkEnd w:id="86"/>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委托采购代理机构代表其与乙方签订合同的，</w:t>
      </w:r>
      <w:r>
        <w:rPr>
          <w:rFonts w:hint="eastAsia" w:ascii="宋体" w:hAnsi="宋体" w:cs="宋体"/>
          <w:color w:val="auto"/>
          <w:sz w:val="24"/>
          <w:szCs w:val="24"/>
          <w:highlight w:val="none"/>
          <w:lang w:eastAsia="zh-CN"/>
        </w:rPr>
        <w:t>征集人</w:t>
      </w:r>
      <w:r>
        <w:rPr>
          <w:rFonts w:hint="eastAsia" w:ascii="宋体" w:hAnsi="宋体" w:cs="宋体"/>
          <w:color w:val="auto"/>
          <w:sz w:val="24"/>
          <w:szCs w:val="24"/>
          <w:highlight w:val="none"/>
        </w:rPr>
        <w:t>的授权委托书作为合同附件。</w:t>
      </w:r>
    </w:p>
    <w:p w14:paraId="2616476C">
      <w:pPr>
        <w:spacing w:line="560" w:lineRule="exact"/>
        <w:ind w:firstLine="480" w:firstLineChars="200"/>
        <w:rPr>
          <w:rFonts w:hint="eastAsia" w:ascii="宋体" w:hAnsi="宋体" w:cs="宋体"/>
          <w:color w:val="auto"/>
          <w:sz w:val="24"/>
          <w:szCs w:val="24"/>
          <w:highlight w:val="none"/>
        </w:rPr>
      </w:pPr>
      <w:bookmarkStart w:id="87" w:name="_Ref467379400"/>
      <w:r>
        <w:rPr>
          <w:rFonts w:hint="eastAsia" w:ascii="宋体" w:hAnsi="宋体" w:cs="宋体"/>
          <w:color w:val="auto"/>
          <w:sz w:val="24"/>
          <w:szCs w:val="24"/>
          <w:highlight w:val="none"/>
        </w:rPr>
        <w:t>2.1.5 “乙方”系指根据合同约定提供服务的</w:t>
      </w:r>
      <w:bookmarkEnd w:id="87"/>
      <w:r>
        <w:rPr>
          <w:rFonts w:hint="eastAsia" w:ascii="宋体" w:hAnsi="宋体" w:cs="宋体"/>
          <w:color w:val="auto"/>
          <w:sz w:val="24"/>
          <w:szCs w:val="24"/>
          <w:highlight w:val="none"/>
          <w:lang w:eastAsia="zh-CN"/>
        </w:rPr>
        <w:t>入围供应商</w:t>
      </w:r>
      <w:r>
        <w:rPr>
          <w:rFonts w:hint="eastAsia" w:ascii="宋体" w:hAnsi="宋体" w:cs="宋体"/>
          <w:color w:val="auto"/>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559DAF33">
      <w:pPr>
        <w:spacing w:line="560" w:lineRule="exact"/>
        <w:ind w:firstLine="480" w:firstLineChars="200"/>
        <w:rPr>
          <w:rFonts w:hint="eastAsia" w:ascii="宋体" w:hAnsi="宋体" w:cs="宋体"/>
          <w:color w:val="auto"/>
          <w:sz w:val="24"/>
          <w:szCs w:val="24"/>
          <w:highlight w:val="none"/>
        </w:rPr>
      </w:pPr>
      <w:bookmarkStart w:id="88" w:name="_Ref467379436"/>
      <w:r>
        <w:rPr>
          <w:rFonts w:hint="eastAsia" w:ascii="宋体" w:hAnsi="宋体" w:cs="宋体"/>
          <w:color w:val="auto"/>
          <w:sz w:val="24"/>
          <w:szCs w:val="24"/>
          <w:highlight w:val="none"/>
        </w:rPr>
        <w:t>2.1.6 “现场”系指合同约定提供服务的地点。</w:t>
      </w:r>
      <w:bookmarkEnd w:id="88"/>
    </w:p>
    <w:p w14:paraId="0AEF33D7">
      <w:pPr>
        <w:spacing w:line="560" w:lineRule="exact"/>
        <w:ind w:firstLine="482" w:firstLineChars="200"/>
        <w:rPr>
          <w:rFonts w:hint="eastAsia" w:ascii="宋体" w:hAnsi="宋体" w:cs="宋体"/>
          <w:b/>
          <w:color w:val="auto"/>
          <w:sz w:val="24"/>
          <w:szCs w:val="24"/>
          <w:highlight w:val="none"/>
        </w:rPr>
      </w:pPr>
      <w:bookmarkStart w:id="89" w:name="_Toc31402"/>
      <w:bookmarkStart w:id="90" w:name="_Toc487900350"/>
      <w:bookmarkStart w:id="91" w:name="_Toc23289"/>
      <w:bookmarkStart w:id="92" w:name="_Toc279701241"/>
      <w:bookmarkStart w:id="93" w:name="_Toc3769"/>
      <w:bookmarkStart w:id="94" w:name="_Toc259093670"/>
      <w:bookmarkStart w:id="95" w:name="_Toc16752"/>
      <w:bookmarkStart w:id="96" w:name="_Toc19539"/>
      <w:r>
        <w:rPr>
          <w:rFonts w:hint="eastAsia" w:ascii="宋体" w:hAnsi="宋体" w:cs="宋体"/>
          <w:b/>
          <w:color w:val="auto"/>
          <w:sz w:val="24"/>
          <w:szCs w:val="24"/>
          <w:highlight w:val="none"/>
        </w:rPr>
        <w:t>2.2 技术规范</w:t>
      </w:r>
      <w:bookmarkEnd w:id="89"/>
      <w:bookmarkEnd w:id="90"/>
      <w:bookmarkEnd w:id="91"/>
      <w:bookmarkEnd w:id="92"/>
      <w:bookmarkEnd w:id="93"/>
      <w:bookmarkEnd w:id="94"/>
      <w:bookmarkEnd w:id="95"/>
      <w:bookmarkEnd w:id="96"/>
    </w:p>
    <w:p w14:paraId="08EA1DD2">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服务所应遵守的技术规范应与</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规定的技术规范和技术规范附件(如果有的话)及其技术规范偏差表(如果被甲方接受的话)相一致；如果</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中没有技术规范的相应说明，那么应以国家有关部门最新颁布的相应标准和规范为准。</w:t>
      </w:r>
    </w:p>
    <w:p w14:paraId="15A62F5D">
      <w:pPr>
        <w:spacing w:line="560" w:lineRule="exact"/>
        <w:ind w:firstLine="482" w:firstLineChars="200"/>
        <w:rPr>
          <w:rFonts w:hint="eastAsia" w:ascii="宋体" w:hAnsi="宋体" w:cs="宋体"/>
          <w:b/>
          <w:color w:val="auto"/>
          <w:sz w:val="24"/>
          <w:szCs w:val="24"/>
          <w:highlight w:val="none"/>
        </w:rPr>
      </w:pPr>
      <w:bookmarkStart w:id="97" w:name="_Toc4133"/>
      <w:bookmarkStart w:id="98" w:name="_Toc13673"/>
      <w:bookmarkStart w:id="99" w:name="_Toc279701242"/>
      <w:bookmarkStart w:id="100" w:name="_Toc9161"/>
      <w:bookmarkStart w:id="101" w:name="_Toc487900351"/>
      <w:bookmarkStart w:id="102" w:name="_Toc12412"/>
      <w:bookmarkStart w:id="103" w:name="_Toc27945"/>
      <w:bookmarkStart w:id="104" w:name="_Toc259093671"/>
      <w:r>
        <w:rPr>
          <w:rFonts w:hint="eastAsia" w:ascii="宋体" w:hAnsi="宋体" w:cs="宋体"/>
          <w:b/>
          <w:color w:val="auto"/>
          <w:sz w:val="24"/>
          <w:szCs w:val="24"/>
          <w:highlight w:val="none"/>
        </w:rPr>
        <w:t>2.3 知识产权</w:t>
      </w:r>
      <w:bookmarkEnd w:id="97"/>
      <w:bookmarkEnd w:id="98"/>
      <w:bookmarkEnd w:id="99"/>
      <w:bookmarkEnd w:id="100"/>
      <w:bookmarkEnd w:id="101"/>
      <w:bookmarkEnd w:id="102"/>
      <w:bookmarkEnd w:id="103"/>
      <w:bookmarkEnd w:id="104"/>
    </w:p>
    <w:p w14:paraId="417A457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14C5B021">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2.3.2 技术成果归属甲方。</w:t>
      </w:r>
    </w:p>
    <w:p w14:paraId="3B9300C8">
      <w:pPr>
        <w:spacing w:line="56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2.4 履约检查和问题反馈</w:t>
      </w:r>
    </w:p>
    <w:p w14:paraId="26F51BD3">
      <w:pPr>
        <w:spacing w:line="560" w:lineRule="exact"/>
        <w:ind w:firstLine="480" w:firstLineChars="200"/>
        <w:rPr>
          <w:rFonts w:hint="eastAsia" w:ascii="宋体" w:hAnsi="宋体" w:cs="宋体"/>
          <w:color w:val="auto"/>
          <w:sz w:val="24"/>
          <w:szCs w:val="24"/>
          <w:highlight w:val="none"/>
        </w:rPr>
      </w:pPr>
      <w:bookmarkStart w:id="105" w:name="_Ref467379657"/>
      <w:r>
        <w:rPr>
          <w:rFonts w:hint="eastAsia" w:ascii="宋体" w:hAnsi="宋体" w:cs="宋体"/>
          <w:color w:val="auto"/>
          <w:sz w:val="24"/>
          <w:szCs w:val="24"/>
          <w:highlight w:val="none"/>
        </w:rPr>
        <w:t>2.4.1</w:t>
      </w:r>
      <w:bookmarkEnd w:id="105"/>
      <w:bookmarkStart w:id="106" w:name="_Toc186431854"/>
      <w:bookmarkStart w:id="107" w:name="_Toc259093676"/>
      <w:bookmarkStart w:id="108" w:name="_Ref467379793"/>
      <w:bookmarkStart w:id="109" w:name="_Toc279701247"/>
      <w:bookmarkStart w:id="110" w:name="_Toc487900357"/>
      <w:bookmarkStart w:id="111" w:name="_Ref467379807"/>
      <w:r>
        <w:rPr>
          <w:rFonts w:hint="eastAsia" w:ascii="宋体" w:hAnsi="宋体" w:cs="宋体"/>
          <w:color w:val="auto"/>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0A2820A9">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2.4.2 合同履行期间，甲方有权将履行过程中出现的问题反馈给乙方，双方当事人应以书面形式约定需要完善和改进的内容</w:t>
      </w:r>
      <w:bookmarkEnd w:id="106"/>
      <w:bookmarkStart w:id="112" w:name="_Toc186431855"/>
      <w:r>
        <w:rPr>
          <w:rFonts w:hint="eastAsia" w:ascii="宋体" w:hAnsi="宋体" w:cs="宋体"/>
          <w:color w:val="auto"/>
          <w:sz w:val="24"/>
          <w:szCs w:val="24"/>
          <w:highlight w:val="none"/>
        </w:rPr>
        <w:t>。</w:t>
      </w:r>
    </w:p>
    <w:bookmarkEnd w:id="107"/>
    <w:bookmarkEnd w:id="108"/>
    <w:bookmarkEnd w:id="109"/>
    <w:bookmarkEnd w:id="110"/>
    <w:bookmarkEnd w:id="111"/>
    <w:bookmarkEnd w:id="112"/>
    <w:p w14:paraId="0332FD83">
      <w:pPr>
        <w:spacing w:line="560" w:lineRule="exact"/>
        <w:ind w:firstLine="482" w:firstLineChars="200"/>
        <w:rPr>
          <w:rFonts w:hint="eastAsia" w:ascii="宋体" w:hAnsi="宋体" w:cs="宋体"/>
          <w:b/>
          <w:color w:val="auto"/>
          <w:sz w:val="24"/>
          <w:szCs w:val="24"/>
          <w:highlight w:val="none"/>
        </w:rPr>
      </w:pPr>
      <w:bookmarkStart w:id="113" w:name="_Ref467379863"/>
      <w:bookmarkStart w:id="114" w:name="_Ref467379852"/>
      <w:bookmarkStart w:id="115" w:name="_Ref467379923"/>
      <w:bookmarkStart w:id="116" w:name="_Toc279701248"/>
      <w:bookmarkStart w:id="117" w:name="_Toc487900358"/>
      <w:bookmarkStart w:id="118" w:name="_Toc259093677"/>
      <w:bookmarkStart w:id="119" w:name="_Toc13467"/>
      <w:bookmarkStart w:id="120" w:name="_Toc13154"/>
      <w:bookmarkStart w:id="121" w:name="_Toc30507"/>
      <w:bookmarkStart w:id="122" w:name="_Toc16163"/>
      <w:bookmarkStart w:id="123" w:name="_Toc18990"/>
      <w:r>
        <w:rPr>
          <w:rFonts w:hint="eastAsia" w:ascii="宋体" w:hAnsi="宋体" w:cs="宋体"/>
          <w:b/>
          <w:color w:val="auto"/>
          <w:sz w:val="24"/>
          <w:szCs w:val="24"/>
          <w:highlight w:val="none"/>
        </w:rPr>
        <w:t>2.5 技术资料</w:t>
      </w:r>
      <w:bookmarkEnd w:id="113"/>
      <w:bookmarkEnd w:id="114"/>
      <w:bookmarkEnd w:id="115"/>
      <w:bookmarkEnd w:id="116"/>
      <w:bookmarkEnd w:id="117"/>
      <w:bookmarkEnd w:id="118"/>
      <w:r>
        <w:rPr>
          <w:rFonts w:hint="eastAsia" w:ascii="宋体" w:hAnsi="宋体" w:cs="宋体"/>
          <w:b/>
          <w:color w:val="auto"/>
          <w:sz w:val="24"/>
          <w:szCs w:val="24"/>
          <w:highlight w:val="none"/>
        </w:rPr>
        <w:t>和保密义务</w:t>
      </w:r>
      <w:bookmarkEnd w:id="119"/>
      <w:bookmarkEnd w:id="120"/>
      <w:bookmarkEnd w:id="121"/>
      <w:bookmarkEnd w:id="122"/>
      <w:bookmarkEnd w:id="123"/>
    </w:p>
    <w:p w14:paraId="3B567488">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2.5.1 乙方有权依据合同约定和项目需要，向甲方了解有关情况，调阅有关资料等，甲方应予积极配合；</w:t>
      </w:r>
    </w:p>
    <w:p w14:paraId="09F3F100">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2.5.2 乙方有义务妥善保管和保护由甲方提供的前款信息和资料等；</w:t>
      </w:r>
    </w:p>
    <w:p w14:paraId="5DEE4484">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C3F3779">
      <w:pPr>
        <w:spacing w:line="560" w:lineRule="exact"/>
        <w:ind w:firstLine="482" w:firstLineChars="200"/>
        <w:rPr>
          <w:rFonts w:hint="eastAsia" w:ascii="宋体" w:hAnsi="宋体" w:cs="宋体"/>
          <w:b/>
          <w:color w:val="auto"/>
          <w:sz w:val="24"/>
          <w:szCs w:val="24"/>
          <w:highlight w:val="none"/>
        </w:rPr>
      </w:pPr>
      <w:bookmarkStart w:id="124" w:name="_Toc19069"/>
      <w:bookmarkStart w:id="125" w:name="_Toc259093681"/>
      <w:bookmarkStart w:id="126" w:name="_Toc487900362"/>
      <w:bookmarkStart w:id="127" w:name="_Toc279701252"/>
      <w:r>
        <w:rPr>
          <w:rFonts w:hint="eastAsia" w:ascii="宋体" w:hAnsi="宋体" w:cs="宋体"/>
          <w:b/>
          <w:color w:val="auto"/>
          <w:sz w:val="24"/>
          <w:szCs w:val="24"/>
          <w:highlight w:val="none"/>
        </w:rPr>
        <w:t>2.6 质量保证</w:t>
      </w:r>
      <w:bookmarkEnd w:id="124"/>
    </w:p>
    <w:p w14:paraId="76EEF74F">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2.6.1 乙方应建立和完善履行合同的内部质量保证体系，并提供相关内部规章制度给甲方，以便甲方进行监督检查；</w:t>
      </w:r>
    </w:p>
    <w:p w14:paraId="5C2B377A">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2.6.2 乙方应保证履行合同的人员数量和素质、软件和硬件设备的配置、场地、环境和设施等满足全面履行合同的要求，并应接受甲方的监督检查。</w:t>
      </w:r>
    </w:p>
    <w:p w14:paraId="380EC8BE">
      <w:pPr>
        <w:spacing w:line="560" w:lineRule="exact"/>
        <w:ind w:firstLine="482" w:firstLineChars="200"/>
        <w:rPr>
          <w:rFonts w:hint="eastAsia" w:ascii="宋体" w:hAnsi="宋体" w:cs="宋体"/>
          <w:b/>
          <w:color w:val="auto"/>
          <w:sz w:val="24"/>
          <w:szCs w:val="24"/>
          <w:highlight w:val="none"/>
        </w:rPr>
      </w:pPr>
      <w:bookmarkStart w:id="128" w:name="_Toc22267"/>
      <w:r>
        <w:rPr>
          <w:rFonts w:hint="eastAsia" w:ascii="宋体" w:hAnsi="宋体" w:cs="宋体"/>
          <w:b/>
          <w:color w:val="auto"/>
          <w:sz w:val="24"/>
          <w:szCs w:val="24"/>
          <w:highlight w:val="none"/>
        </w:rPr>
        <w:t>2.7 延迟</w:t>
      </w:r>
      <w:bookmarkEnd w:id="125"/>
      <w:bookmarkEnd w:id="126"/>
      <w:bookmarkEnd w:id="127"/>
      <w:r>
        <w:rPr>
          <w:rFonts w:hint="eastAsia" w:ascii="宋体" w:hAnsi="宋体" w:cs="宋体"/>
          <w:b/>
          <w:color w:val="auto"/>
          <w:sz w:val="24"/>
          <w:szCs w:val="24"/>
          <w:highlight w:val="none"/>
        </w:rPr>
        <w:t>履行</w:t>
      </w:r>
      <w:bookmarkEnd w:id="128"/>
    </w:p>
    <w:p w14:paraId="00572375">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2F7918D4">
      <w:pPr>
        <w:spacing w:line="560" w:lineRule="exact"/>
        <w:ind w:firstLine="482" w:firstLineChars="200"/>
        <w:rPr>
          <w:rFonts w:hint="eastAsia" w:ascii="宋体" w:hAnsi="宋体" w:cs="宋体"/>
          <w:b/>
          <w:color w:val="auto"/>
          <w:sz w:val="24"/>
          <w:szCs w:val="24"/>
          <w:highlight w:val="none"/>
        </w:rPr>
      </w:pPr>
      <w:bookmarkStart w:id="129" w:name="_Toc10611"/>
      <w:bookmarkStart w:id="130" w:name="_Toc487900364"/>
      <w:bookmarkStart w:id="131" w:name="_Ref467378121"/>
      <w:bookmarkStart w:id="132" w:name="_Toc279701254"/>
      <w:bookmarkStart w:id="133" w:name="_Toc259093683"/>
      <w:r>
        <w:rPr>
          <w:rFonts w:hint="eastAsia" w:ascii="宋体" w:hAnsi="宋体" w:cs="宋体"/>
          <w:b/>
          <w:color w:val="auto"/>
          <w:sz w:val="24"/>
          <w:szCs w:val="24"/>
          <w:highlight w:val="none"/>
        </w:rPr>
        <w:t>2.8 合同变更</w:t>
      </w:r>
      <w:bookmarkEnd w:id="129"/>
    </w:p>
    <w:p w14:paraId="2C4313C8">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2.8.1 双方当事人协商一致，可以签订书面补充合同的形式变更合同，但不得违背</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确定的事项，且如果系追加与合同标的相同的服务的，那么所有补充合同的采购金额不得超过原合同价的10%；</w:t>
      </w:r>
    </w:p>
    <w:p w14:paraId="1F296170">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34" w:name="_Toc259093688"/>
      <w:bookmarkStart w:id="135" w:name="_Toc279701259"/>
      <w:bookmarkStart w:id="136" w:name="_Toc487900369"/>
    </w:p>
    <w:p w14:paraId="14A10014">
      <w:pPr>
        <w:spacing w:line="560" w:lineRule="exact"/>
        <w:ind w:firstLine="482" w:firstLineChars="200"/>
        <w:rPr>
          <w:rFonts w:hint="eastAsia" w:ascii="宋体" w:hAnsi="宋体" w:cs="宋体"/>
          <w:b/>
          <w:color w:val="auto"/>
          <w:sz w:val="24"/>
          <w:szCs w:val="24"/>
          <w:highlight w:val="none"/>
        </w:rPr>
      </w:pPr>
      <w:bookmarkStart w:id="137" w:name="_Toc21830"/>
      <w:bookmarkStart w:id="138" w:name="_Toc23368"/>
      <w:bookmarkStart w:id="139" w:name="_Toc10663"/>
      <w:bookmarkStart w:id="140" w:name="_Toc26689"/>
      <w:bookmarkStart w:id="141" w:name="_Toc42"/>
      <w:r>
        <w:rPr>
          <w:rFonts w:hint="eastAsia" w:ascii="宋体" w:hAnsi="宋体" w:cs="宋体"/>
          <w:b/>
          <w:color w:val="auto"/>
          <w:sz w:val="24"/>
          <w:szCs w:val="24"/>
          <w:highlight w:val="none"/>
        </w:rPr>
        <w:t>2.9 合同转让</w:t>
      </w:r>
      <w:bookmarkEnd w:id="134"/>
      <w:bookmarkEnd w:id="135"/>
      <w:bookmarkEnd w:id="136"/>
      <w:r>
        <w:rPr>
          <w:rFonts w:hint="eastAsia" w:ascii="宋体" w:hAnsi="宋体" w:cs="宋体"/>
          <w:b/>
          <w:color w:val="auto"/>
          <w:sz w:val="24"/>
          <w:szCs w:val="24"/>
          <w:highlight w:val="none"/>
        </w:rPr>
        <w:t>和分包</w:t>
      </w:r>
      <w:bookmarkEnd w:id="137"/>
      <w:bookmarkEnd w:id="138"/>
      <w:bookmarkEnd w:id="139"/>
      <w:bookmarkEnd w:id="140"/>
      <w:bookmarkEnd w:id="141"/>
    </w:p>
    <w:p w14:paraId="4440160B">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rPr>
        <w:t>合同的权利义务依法不得转让，如招标文件“第一章 投标邀请函”中甲方接受中标后分包，</w:t>
      </w:r>
      <w:r>
        <w:rPr>
          <w:rFonts w:hint="eastAsia" w:ascii="宋体" w:hAnsi="宋体" w:cs="宋体"/>
          <w:color w:val="auto"/>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0B3CB499">
      <w:pPr>
        <w:spacing w:line="560" w:lineRule="exact"/>
        <w:ind w:firstLine="482" w:firstLineChars="200"/>
        <w:rPr>
          <w:rFonts w:hint="eastAsia" w:ascii="宋体" w:hAnsi="宋体" w:cs="宋体"/>
          <w:b/>
          <w:color w:val="auto"/>
          <w:sz w:val="24"/>
          <w:szCs w:val="24"/>
          <w:highlight w:val="none"/>
        </w:rPr>
      </w:pPr>
      <w:bookmarkStart w:id="142" w:name="_Toc25571"/>
      <w:bookmarkStart w:id="143" w:name="_Toc14371"/>
      <w:bookmarkStart w:id="144" w:name="_Toc4720"/>
      <w:bookmarkStart w:id="145" w:name="_Toc32494"/>
      <w:bookmarkStart w:id="146" w:name="_Toc26633"/>
      <w:r>
        <w:rPr>
          <w:rFonts w:hint="eastAsia" w:ascii="宋体" w:hAnsi="宋体" w:cs="宋体"/>
          <w:b/>
          <w:color w:val="auto"/>
          <w:sz w:val="24"/>
          <w:szCs w:val="24"/>
          <w:highlight w:val="none"/>
        </w:rPr>
        <w:t>2.10 不可抗力</w:t>
      </w:r>
      <w:bookmarkEnd w:id="142"/>
      <w:bookmarkEnd w:id="143"/>
      <w:bookmarkEnd w:id="144"/>
      <w:bookmarkEnd w:id="145"/>
      <w:bookmarkEnd w:id="146"/>
    </w:p>
    <w:p w14:paraId="7BEC2D23">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2.10.1如果任何一方遭遇法律规定的不可抗力，致使合同履行受阻时，履行合同的期限应予延长，延长的期限应相当于不可抗力所影响的时间；</w:t>
      </w:r>
    </w:p>
    <w:p w14:paraId="03E7135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2.10.2 因不可抗力致使不能实现合同目的的，当事人可以解除合同；</w:t>
      </w:r>
    </w:p>
    <w:p w14:paraId="7D83D38A">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2.10.3 因不可抗力致使合同有变更必要的，</w:t>
      </w:r>
      <w:r>
        <w:rPr>
          <w:rFonts w:hint="eastAsia" w:ascii="宋体" w:hAnsi="宋体" w:cs="宋体"/>
          <w:color w:val="auto"/>
          <w:sz w:val="24"/>
          <w:highlight w:val="none"/>
        </w:rPr>
        <w:t>双方当事人应在约定时间内以书面形式变更合同</w:t>
      </w:r>
      <w:r>
        <w:rPr>
          <w:rFonts w:hint="eastAsia" w:ascii="宋体" w:hAnsi="宋体" w:cs="宋体"/>
          <w:color w:val="auto"/>
          <w:sz w:val="24"/>
          <w:szCs w:val="24"/>
          <w:highlight w:val="none"/>
        </w:rPr>
        <w:t>；</w:t>
      </w:r>
    </w:p>
    <w:p w14:paraId="77207CB7">
      <w:pPr>
        <w:spacing w:line="560" w:lineRule="exact"/>
        <w:ind w:firstLine="480" w:firstLineChars="200"/>
        <w:rPr>
          <w:rFonts w:hint="eastAsia" w:ascii="宋体" w:hAnsi="宋体"/>
          <w:bCs/>
          <w:color w:val="auto"/>
          <w:sz w:val="24"/>
          <w:highlight w:val="none"/>
          <w:lang w:val="zh-CN"/>
        </w:rPr>
      </w:pPr>
      <w:r>
        <w:rPr>
          <w:rFonts w:hint="eastAsia" w:ascii="宋体" w:hAnsi="宋体" w:cs="宋体"/>
          <w:color w:val="auto"/>
          <w:sz w:val="24"/>
          <w:szCs w:val="24"/>
          <w:highlight w:val="none"/>
        </w:rPr>
        <w:t xml:space="preserve">2.10.4 </w:t>
      </w:r>
      <w:r>
        <w:rPr>
          <w:rFonts w:hint="eastAsia" w:ascii="宋体" w:hAnsi="宋体"/>
          <w:bCs/>
          <w:color w:val="auto"/>
          <w:sz w:val="24"/>
          <w:highlight w:val="none"/>
          <w:lang w:val="zh-CN"/>
        </w:rPr>
        <w:t>如遭遇不可抗力事件，遭遇不可抗力的一方应尽快以书面形式将不可抗力的情况和原因通知另一方，并</w:t>
      </w:r>
      <w:r>
        <w:rPr>
          <w:rFonts w:hint="eastAsia" w:ascii="宋体" w:hAnsi="宋体" w:cs="宋体"/>
          <w:color w:val="auto"/>
          <w:sz w:val="24"/>
          <w:highlight w:val="none"/>
        </w:rPr>
        <w:t>将有关部门出具的证明文件送达对方当事人，</w:t>
      </w:r>
      <w:r>
        <w:rPr>
          <w:rFonts w:hint="eastAsia" w:ascii="宋体" w:hAnsi="宋体"/>
          <w:bCs/>
          <w:color w:val="auto"/>
          <w:sz w:val="24"/>
          <w:highlight w:val="none"/>
          <w:lang w:val="zh-CN"/>
        </w:rPr>
        <w:t>积极采取措施防止损失扩大。因不可抗力造成的损失，甲乙双方按照法律规定处理；</w:t>
      </w:r>
    </w:p>
    <w:p w14:paraId="6D3DD5E8">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rPr>
        <w:t>2.10.5 “</w:t>
      </w:r>
      <w:r>
        <w:rPr>
          <w:rFonts w:hint="eastAsia" w:ascii="宋体" w:hAnsi="宋体"/>
          <w:bCs/>
          <w:color w:val="auto"/>
          <w:sz w:val="24"/>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7A8DE7B5">
      <w:pPr>
        <w:spacing w:line="560" w:lineRule="exact"/>
        <w:ind w:firstLine="482" w:firstLineChars="200"/>
        <w:rPr>
          <w:rFonts w:hint="eastAsia" w:ascii="宋体" w:hAnsi="宋体" w:cs="宋体"/>
          <w:b/>
          <w:color w:val="auto"/>
          <w:sz w:val="24"/>
          <w:szCs w:val="24"/>
          <w:highlight w:val="none"/>
        </w:rPr>
      </w:pPr>
      <w:bookmarkStart w:id="147" w:name="_Toc279701255"/>
      <w:bookmarkStart w:id="148" w:name="_Toc14115"/>
      <w:bookmarkStart w:id="149" w:name="_Toc487900365"/>
      <w:bookmarkStart w:id="150" w:name="_Toc259093684"/>
      <w:bookmarkStart w:id="151" w:name="_Toc23854"/>
      <w:bookmarkStart w:id="152" w:name="_Toc24465"/>
      <w:bookmarkStart w:id="153" w:name="_Toc25783"/>
      <w:bookmarkStart w:id="154" w:name="_Toc3638"/>
      <w:r>
        <w:rPr>
          <w:rFonts w:hint="eastAsia" w:ascii="宋体" w:hAnsi="宋体" w:cs="宋体"/>
          <w:b/>
          <w:color w:val="auto"/>
          <w:sz w:val="24"/>
          <w:szCs w:val="24"/>
          <w:highlight w:val="none"/>
        </w:rPr>
        <w:t>2.11 税费</w:t>
      </w:r>
      <w:bookmarkEnd w:id="147"/>
      <w:bookmarkEnd w:id="148"/>
      <w:bookmarkEnd w:id="149"/>
      <w:bookmarkEnd w:id="150"/>
      <w:bookmarkEnd w:id="151"/>
      <w:bookmarkEnd w:id="152"/>
      <w:bookmarkEnd w:id="153"/>
      <w:bookmarkEnd w:id="154"/>
    </w:p>
    <w:p w14:paraId="2B1CD01E">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与合同有关的一切税费，均按照中华人民共和国法律的相关规定缴纳。</w:t>
      </w:r>
    </w:p>
    <w:p w14:paraId="3E4E21A1">
      <w:pPr>
        <w:spacing w:line="560" w:lineRule="exact"/>
        <w:ind w:firstLine="482" w:firstLineChars="200"/>
        <w:rPr>
          <w:rFonts w:hint="eastAsia" w:ascii="宋体" w:hAnsi="宋体" w:cs="宋体"/>
          <w:b/>
          <w:color w:val="auto"/>
          <w:sz w:val="24"/>
          <w:szCs w:val="24"/>
          <w:highlight w:val="none"/>
        </w:rPr>
      </w:pPr>
      <w:bookmarkStart w:id="155" w:name="_Toc14814"/>
      <w:bookmarkStart w:id="156" w:name="_Toc259093687"/>
      <w:bookmarkStart w:id="157" w:name="_Toc30105"/>
      <w:bookmarkStart w:id="158" w:name="_Toc7315"/>
      <w:bookmarkStart w:id="159" w:name="_Toc25525"/>
      <w:bookmarkStart w:id="160" w:name="_Toc26883"/>
      <w:bookmarkStart w:id="161" w:name="_Toc279701258"/>
      <w:bookmarkStart w:id="162" w:name="_Toc487900368"/>
      <w:r>
        <w:rPr>
          <w:rFonts w:hint="eastAsia" w:ascii="宋体" w:hAnsi="宋体" w:cs="宋体"/>
          <w:b/>
          <w:color w:val="auto"/>
          <w:sz w:val="24"/>
          <w:szCs w:val="24"/>
          <w:highlight w:val="none"/>
        </w:rPr>
        <w:t>2.12 乙方破产</w:t>
      </w:r>
      <w:bookmarkEnd w:id="155"/>
      <w:bookmarkEnd w:id="156"/>
      <w:bookmarkEnd w:id="157"/>
      <w:bookmarkEnd w:id="158"/>
      <w:bookmarkEnd w:id="159"/>
      <w:bookmarkEnd w:id="160"/>
      <w:bookmarkEnd w:id="161"/>
      <w:bookmarkEnd w:id="162"/>
    </w:p>
    <w:p w14:paraId="2D0719BD">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359D0D55">
      <w:pPr>
        <w:spacing w:line="560" w:lineRule="exact"/>
        <w:ind w:firstLine="482" w:firstLineChars="200"/>
        <w:rPr>
          <w:rFonts w:hint="eastAsia" w:ascii="宋体" w:hAnsi="宋体" w:cs="宋体"/>
          <w:b/>
          <w:color w:val="auto"/>
          <w:sz w:val="24"/>
          <w:szCs w:val="24"/>
          <w:highlight w:val="none"/>
        </w:rPr>
      </w:pPr>
      <w:bookmarkStart w:id="163" w:name="_Toc1123"/>
      <w:bookmarkStart w:id="164" w:name="_Toc23323"/>
      <w:bookmarkStart w:id="165" w:name="_Toc2016"/>
      <w:r>
        <w:rPr>
          <w:rFonts w:hint="eastAsia" w:ascii="宋体" w:hAnsi="宋体" w:cs="宋体"/>
          <w:b/>
          <w:color w:val="auto"/>
          <w:sz w:val="24"/>
          <w:szCs w:val="24"/>
          <w:highlight w:val="none"/>
        </w:rPr>
        <w:t>2.13 合同中止、终止</w:t>
      </w:r>
      <w:bookmarkEnd w:id="163"/>
      <w:bookmarkEnd w:id="164"/>
      <w:bookmarkEnd w:id="165"/>
    </w:p>
    <w:p w14:paraId="5C750222">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2.13.1 双方当事人不得擅自中止或者终止合同；</w:t>
      </w:r>
    </w:p>
    <w:p w14:paraId="327A994E">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110026EC">
      <w:pPr>
        <w:spacing w:line="560" w:lineRule="exact"/>
        <w:ind w:firstLine="482" w:firstLineChars="200"/>
        <w:rPr>
          <w:rFonts w:hint="eastAsia" w:ascii="宋体" w:hAnsi="宋体" w:cs="宋体"/>
          <w:b/>
          <w:color w:val="auto"/>
          <w:sz w:val="24"/>
          <w:szCs w:val="24"/>
          <w:highlight w:val="none"/>
        </w:rPr>
      </w:pPr>
      <w:bookmarkStart w:id="166" w:name="_Toc14525"/>
      <w:bookmarkStart w:id="167" w:name="_Toc1969"/>
      <w:bookmarkStart w:id="168" w:name="_Toc17363"/>
      <w:r>
        <w:rPr>
          <w:rFonts w:hint="eastAsia" w:ascii="宋体" w:hAnsi="宋体" w:cs="宋体"/>
          <w:b/>
          <w:color w:val="auto"/>
          <w:sz w:val="24"/>
          <w:szCs w:val="24"/>
          <w:highlight w:val="none"/>
        </w:rPr>
        <w:t>2.14 检验和验收</w:t>
      </w:r>
      <w:bookmarkEnd w:id="166"/>
      <w:bookmarkEnd w:id="167"/>
      <w:bookmarkEnd w:id="168"/>
    </w:p>
    <w:p w14:paraId="623CD227">
      <w:pPr>
        <w:tabs>
          <w:tab w:val="left" w:pos="360"/>
          <w:tab w:val="left" w:pos="540"/>
          <w:tab w:val="left" w:pos="1080"/>
        </w:tabs>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2.14.1 乙方按照约定，定期提交服务报告，甲方定期进行验收；</w:t>
      </w:r>
    </w:p>
    <w:p w14:paraId="2CF1581E">
      <w:pPr>
        <w:tabs>
          <w:tab w:val="left" w:pos="360"/>
          <w:tab w:val="left" w:pos="540"/>
          <w:tab w:val="left" w:pos="1080"/>
        </w:tabs>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2.14.2 合同期满或者履行完毕后，甲方有权组织（包括依法邀请国家认可的质量检测机构参加）对乙方履约的验收，即：按照合同约定的标准，组织对乙方履约情况的验收，并出具政府采购项目验收单；向社会公众提供的公共服务项目，验收时应当邀请服务对象参与并出具意见，验收结果应当向社会公告；</w:t>
      </w:r>
    </w:p>
    <w:bookmarkEnd w:id="130"/>
    <w:bookmarkEnd w:id="131"/>
    <w:bookmarkEnd w:id="132"/>
    <w:bookmarkEnd w:id="133"/>
    <w:p w14:paraId="00F6224B">
      <w:pPr>
        <w:spacing w:line="560" w:lineRule="exact"/>
        <w:ind w:firstLine="482" w:firstLineChars="200"/>
        <w:rPr>
          <w:rFonts w:hint="eastAsia" w:ascii="宋体" w:hAnsi="宋体" w:cs="宋体"/>
          <w:b/>
          <w:color w:val="auto"/>
          <w:sz w:val="24"/>
          <w:szCs w:val="24"/>
          <w:highlight w:val="none"/>
        </w:rPr>
      </w:pPr>
      <w:bookmarkStart w:id="169" w:name="_Toc259093690"/>
      <w:bookmarkStart w:id="170" w:name="_Toc487900371"/>
      <w:bookmarkStart w:id="171" w:name="_Toc279701261"/>
      <w:bookmarkStart w:id="172" w:name="_Toc25198"/>
      <w:bookmarkStart w:id="173" w:name="_Toc2308"/>
      <w:bookmarkStart w:id="174" w:name="_Toc31892"/>
      <w:bookmarkStart w:id="175" w:name="_Toc12666"/>
      <w:bookmarkStart w:id="176" w:name="_Toc9808"/>
      <w:r>
        <w:rPr>
          <w:rFonts w:hint="eastAsia" w:ascii="宋体" w:hAnsi="宋体" w:cs="宋体"/>
          <w:b/>
          <w:color w:val="auto"/>
          <w:sz w:val="24"/>
          <w:szCs w:val="24"/>
          <w:highlight w:val="none"/>
        </w:rPr>
        <w:t>2.15 通知</w:t>
      </w:r>
      <w:bookmarkEnd w:id="169"/>
      <w:bookmarkEnd w:id="170"/>
      <w:bookmarkEnd w:id="171"/>
      <w:r>
        <w:rPr>
          <w:rFonts w:hint="eastAsia" w:ascii="宋体" w:hAnsi="宋体" w:cs="宋体"/>
          <w:b/>
          <w:color w:val="auto"/>
          <w:sz w:val="24"/>
          <w:szCs w:val="24"/>
          <w:highlight w:val="none"/>
        </w:rPr>
        <w:t>和送达</w:t>
      </w:r>
      <w:bookmarkEnd w:id="172"/>
      <w:bookmarkEnd w:id="173"/>
      <w:bookmarkEnd w:id="174"/>
      <w:bookmarkEnd w:id="175"/>
      <w:bookmarkEnd w:id="176"/>
    </w:p>
    <w:p w14:paraId="24352A86">
      <w:pPr>
        <w:spacing w:line="560" w:lineRule="exact"/>
        <w:ind w:firstLine="480" w:firstLineChars="200"/>
        <w:rPr>
          <w:rFonts w:hint="eastAsia" w:ascii="宋体" w:hAnsi="宋体" w:cs="宋体"/>
          <w:color w:val="auto"/>
          <w:sz w:val="24"/>
          <w:szCs w:val="24"/>
          <w:highlight w:val="none"/>
        </w:rPr>
      </w:pPr>
      <w:bookmarkStart w:id="177" w:name="_Toc29220"/>
      <w:bookmarkStart w:id="178" w:name="_Toc7073"/>
      <w:bookmarkStart w:id="179" w:name="_Toc259093691"/>
      <w:bookmarkStart w:id="180" w:name="_Toc279701262"/>
      <w:bookmarkStart w:id="181" w:name="_Toc487900372"/>
      <w:r>
        <w:rPr>
          <w:rFonts w:hint="eastAsia" w:ascii="宋体" w:hAnsi="宋体" w:cs="宋体"/>
          <w:color w:val="auto"/>
          <w:sz w:val="24"/>
          <w:szCs w:val="24"/>
          <w:highlight w:val="none"/>
        </w:rPr>
        <w:t>2.15.1 任何一方因履行合同而以合同第一部分尾部所列明的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发出的所有通知、文件、材料，均视为已向对方当事人送达；任何一方变更上述送达方式或者地址的，应于</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个工作日内书面通知对方当事人，在对方当事人收到有关变更通知之前，变更前的约定送达方式或者地址仍视为有效。</w:t>
      </w:r>
      <w:bookmarkEnd w:id="177"/>
      <w:bookmarkEnd w:id="178"/>
    </w:p>
    <w:p w14:paraId="4CD935E5">
      <w:pPr>
        <w:spacing w:line="560" w:lineRule="exact"/>
        <w:ind w:firstLine="480" w:firstLineChars="200"/>
        <w:rPr>
          <w:rFonts w:hint="eastAsia" w:ascii="宋体" w:hAnsi="宋体" w:cs="宋体"/>
          <w:color w:val="auto"/>
          <w:sz w:val="24"/>
          <w:szCs w:val="24"/>
          <w:highlight w:val="none"/>
        </w:rPr>
      </w:pPr>
      <w:bookmarkStart w:id="182" w:name="_Toc18401"/>
      <w:bookmarkStart w:id="183" w:name="_Toc27674"/>
      <w:r>
        <w:rPr>
          <w:rFonts w:hint="eastAsia" w:ascii="宋体" w:hAnsi="宋体" w:cs="宋体"/>
          <w:color w:val="auto"/>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182"/>
      <w:bookmarkEnd w:id="183"/>
    </w:p>
    <w:bookmarkEnd w:id="179"/>
    <w:bookmarkEnd w:id="180"/>
    <w:bookmarkEnd w:id="181"/>
    <w:p w14:paraId="42EBB5C5">
      <w:pPr>
        <w:spacing w:line="560" w:lineRule="exact"/>
        <w:ind w:firstLine="482" w:firstLineChars="200"/>
        <w:rPr>
          <w:rFonts w:hint="eastAsia" w:ascii="宋体" w:hAnsi="宋体" w:cs="宋体"/>
          <w:b/>
          <w:color w:val="auto"/>
          <w:sz w:val="24"/>
          <w:szCs w:val="24"/>
          <w:highlight w:val="none"/>
        </w:rPr>
      </w:pPr>
      <w:bookmarkStart w:id="184" w:name="_Toc487900373"/>
      <w:bookmarkStart w:id="185" w:name="_Toc28906"/>
      <w:bookmarkStart w:id="186" w:name="_Toc279701263"/>
      <w:bookmarkStart w:id="187" w:name="_Toc27644"/>
      <w:bookmarkStart w:id="188" w:name="_Toc12254"/>
      <w:bookmarkStart w:id="189" w:name="_Toc259093692"/>
      <w:bookmarkStart w:id="190" w:name="_Toc20808"/>
      <w:bookmarkStart w:id="191" w:name="_Toc5063"/>
      <w:r>
        <w:rPr>
          <w:rFonts w:hint="eastAsia" w:ascii="宋体" w:hAnsi="宋体" w:cs="宋体"/>
          <w:b/>
          <w:color w:val="auto"/>
          <w:sz w:val="24"/>
          <w:szCs w:val="24"/>
          <w:highlight w:val="none"/>
        </w:rPr>
        <w:t>2.16 合同使用的文字和适用的法律</w:t>
      </w:r>
      <w:bookmarkEnd w:id="184"/>
      <w:bookmarkEnd w:id="185"/>
      <w:bookmarkEnd w:id="186"/>
      <w:bookmarkEnd w:id="187"/>
      <w:bookmarkEnd w:id="188"/>
      <w:bookmarkEnd w:id="189"/>
      <w:bookmarkEnd w:id="190"/>
      <w:bookmarkEnd w:id="191"/>
    </w:p>
    <w:p w14:paraId="4080C279">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2.16.1 合同使用汉语书就、变更和解释；</w:t>
      </w:r>
    </w:p>
    <w:p w14:paraId="19314B68">
      <w:pPr>
        <w:spacing w:line="56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2.16.2 合同适用中华人民共和国法律。</w:t>
      </w:r>
    </w:p>
    <w:p w14:paraId="2B6BA6FC">
      <w:pPr>
        <w:spacing w:line="560" w:lineRule="exact"/>
        <w:ind w:firstLine="482" w:firstLineChars="200"/>
        <w:rPr>
          <w:rFonts w:hint="eastAsia" w:ascii="宋体" w:hAnsi="宋体" w:cs="宋体"/>
          <w:b/>
          <w:color w:val="auto"/>
          <w:sz w:val="24"/>
          <w:szCs w:val="24"/>
          <w:highlight w:val="none"/>
        </w:rPr>
      </w:pPr>
      <w:bookmarkStart w:id="192" w:name="_Toc1492"/>
      <w:bookmarkStart w:id="193" w:name="_Toc30096"/>
      <w:bookmarkStart w:id="194" w:name="_Toc259093693"/>
      <w:bookmarkStart w:id="195" w:name="_Toc27403"/>
      <w:bookmarkStart w:id="196" w:name="_Toc27127"/>
      <w:bookmarkStart w:id="197" w:name="_Toc279701264"/>
      <w:bookmarkStart w:id="198" w:name="_Toc22266"/>
      <w:r>
        <w:rPr>
          <w:rFonts w:hint="eastAsia" w:ascii="宋体" w:hAnsi="宋体" w:cs="宋体"/>
          <w:b/>
          <w:color w:val="auto"/>
          <w:sz w:val="24"/>
          <w:szCs w:val="24"/>
          <w:highlight w:val="none"/>
        </w:rPr>
        <w:t>2.17 履约保证金</w:t>
      </w:r>
      <w:bookmarkEnd w:id="192"/>
      <w:bookmarkEnd w:id="193"/>
      <w:bookmarkEnd w:id="194"/>
      <w:bookmarkEnd w:id="195"/>
      <w:bookmarkEnd w:id="196"/>
      <w:bookmarkEnd w:id="197"/>
      <w:bookmarkEnd w:id="198"/>
    </w:p>
    <w:p w14:paraId="10BC56FF">
      <w:pPr>
        <w:spacing w:line="560" w:lineRule="exact"/>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 xml:space="preserve">2.17.1 </w:t>
      </w:r>
      <w:r>
        <w:rPr>
          <w:rFonts w:hint="eastAsia" w:ascii="宋体" w:hAnsi="宋体" w:cs="宋体"/>
          <w:color w:val="auto"/>
          <w:sz w:val="24"/>
          <w:szCs w:val="24"/>
          <w:highlight w:val="none"/>
          <w:lang w:val="en-US" w:eastAsia="zh-CN"/>
        </w:rPr>
        <w:t>本项目无需缴纳履约保证金。</w:t>
      </w:r>
    </w:p>
    <w:p w14:paraId="7AF414C2">
      <w:pPr>
        <w:pStyle w:val="2"/>
        <w:rPr>
          <w:rFonts w:hint="eastAsia" w:ascii="宋体" w:hAnsi="宋体" w:cs="宋体"/>
          <w:color w:val="auto"/>
          <w:sz w:val="24"/>
          <w:szCs w:val="24"/>
          <w:highlight w:val="none"/>
          <w:lang w:val="en-US" w:eastAsia="zh-CN"/>
        </w:rPr>
      </w:pPr>
    </w:p>
    <w:p w14:paraId="5001E8C3">
      <w:pPr>
        <w:pStyle w:val="2"/>
        <w:rPr>
          <w:rFonts w:hint="eastAsia" w:ascii="宋体" w:hAnsi="宋体" w:cs="宋体"/>
          <w:color w:val="auto"/>
          <w:sz w:val="24"/>
          <w:szCs w:val="24"/>
          <w:highlight w:val="none"/>
          <w:lang w:val="en-US" w:eastAsia="zh-CN"/>
        </w:rPr>
      </w:pPr>
    </w:p>
    <w:p w14:paraId="29990C32">
      <w:pPr>
        <w:pStyle w:val="2"/>
        <w:rPr>
          <w:rFonts w:hint="eastAsia" w:ascii="宋体" w:hAnsi="宋体" w:cs="宋体"/>
          <w:color w:val="auto"/>
          <w:sz w:val="24"/>
          <w:szCs w:val="24"/>
          <w:highlight w:val="none"/>
          <w:lang w:val="en-US" w:eastAsia="zh-CN"/>
        </w:rPr>
      </w:pPr>
    </w:p>
    <w:p w14:paraId="03E2B981">
      <w:pPr>
        <w:pStyle w:val="2"/>
        <w:rPr>
          <w:rFonts w:hint="eastAsia" w:ascii="宋体" w:hAnsi="宋体" w:cs="宋体"/>
          <w:color w:val="auto"/>
          <w:sz w:val="24"/>
          <w:szCs w:val="24"/>
          <w:highlight w:val="none"/>
          <w:lang w:val="en-US" w:eastAsia="zh-CN"/>
        </w:rPr>
      </w:pPr>
    </w:p>
    <w:sectPr>
      <w:headerReference r:id="rId3" w:type="default"/>
      <w:footerReference r:id="rId4" w:type="default"/>
      <w:pgSz w:w="11906" w:h="16838"/>
      <w:pgMar w:top="1100" w:right="1066" w:bottom="1100"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3C004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731DA">
    <w:pPr>
      <w:pStyle w:val="1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3075"/>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a:effectLst/>
                    </wps:spPr>
                    <wps:txbx>
                      <w:txbxContent>
                        <w:p w14:paraId="4176FBDD">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 3075"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KkUuzQAAAAAwEAAA8AAAAAAAAAAQAgAAAAIgAA&#10;AGRycy9kb3ducmV2LnhtbFBLAQIUABQAAAAIAIdO4kBhi5RPEAIAABMEAAAOAAAAAAAAAAEAIAAA&#10;AB8BAABkcnMvZTJvRG9jLnhtbFBLBQYAAAAABgAGAFkBAAChBQAAAAA=&#10;">
              <v:fill on="f" focussize="0,0"/>
              <v:stroke on="f"/>
              <v:imagedata o:title=""/>
              <o:lock v:ext="edit" aspectratio="f"/>
              <v:textbox inset="0mm,0mm,0mm,0mm" style="mso-fit-shape-to-text:t;">
                <w:txbxContent>
                  <w:p w14:paraId="4176FBDD">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8567D">
    <w:pPr>
      <w:pStyle w:val="14"/>
      <w:rPr>
        <w:rFonts w:hint="eastAsia" w:eastAsia="楷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F72A2A"/>
    <w:multiLevelType w:val="singleLevel"/>
    <w:tmpl w:val="A3F72A2A"/>
    <w:lvl w:ilvl="0" w:tentative="0">
      <w:start w:val="1"/>
      <w:numFmt w:val="decimal"/>
      <w:suff w:val="nothing"/>
      <w:lvlText w:val="（%1）"/>
      <w:lvlJc w:val="left"/>
    </w:lvl>
  </w:abstractNum>
  <w:abstractNum w:abstractNumId="1">
    <w:nsid w:val="BF2007C2"/>
    <w:multiLevelType w:val="singleLevel"/>
    <w:tmpl w:val="BF2007C2"/>
    <w:lvl w:ilvl="0" w:tentative="0">
      <w:start w:val="1"/>
      <w:numFmt w:val="decimal"/>
      <w:suff w:val="nothing"/>
      <w:lvlText w:val="（%1）"/>
      <w:lvlJc w:val="left"/>
    </w:lvl>
  </w:abstractNum>
  <w:abstractNum w:abstractNumId="2">
    <w:nsid w:val="C5CCBAC7"/>
    <w:multiLevelType w:val="singleLevel"/>
    <w:tmpl w:val="C5CCBAC7"/>
    <w:lvl w:ilvl="0" w:tentative="0">
      <w:start w:val="4"/>
      <w:numFmt w:val="decimal"/>
      <w:suff w:val="nothing"/>
      <w:lvlText w:val="（%1）"/>
      <w:lvlJc w:val="left"/>
    </w:lvl>
  </w:abstractNum>
  <w:abstractNum w:abstractNumId="3">
    <w:nsid w:val="24AA129B"/>
    <w:multiLevelType w:val="singleLevel"/>
    <w:tmpl w:val="24AA129B"/>
    <w:lvl w:ilvl="0" w:tentative="0">
      <w:start w:val="4"/>
      <w:numFmt w:val="decimal"/>
      <w:suff w:val="nothing"/>
      <w:lvlText w:val="（%1）"/>
      <w:lvlJc w:val="left"/>
    </w:lvl>
  </w:abstractNum>
  <w:abstractNum w:abstractNumId="4">
    <w:nsid w:val="393E21BD"/>
    <w:multiLevelType w:val="singleLevel"/>
    <w:tmpl w:val="393E21BD"/>
    <w:lvl w:ilvl="0" w:tentative="0">
      <w:start w:val="4"/>
      <w:numFmt w:val="decimal"/>
      <w:suff w:val="nothing"/>
      <w:lvlText w:val="（%1）"/>
      <w:lvlJc w:val="left"/>
    </w:lvl>
  </w:abstractNum>
  <w:abstractNum w:abstractNumId="5">
    <w:nsid w:val="4AB93273"/>
    <w:multiLevelType w:val="singleLevel"/>
    <w:tmpl w:val="4AB93273"/>
    <w:lvl w:ilvl="0" w:tentative="0">
      <w:start w:val="3"/>
      <w:numFmt w:val="decimal"/>
      <w:suff w:val="nothing"/>
      <w:lvlText w:val="%1、"/>
      <w:lvlJc w:val="left"/>
    </w:lvl>
  </w:abstractNum>
  <w:abstractNum w:abstractNumId="6">
    <w:nsid w:val="5A6211B9"/>
    <w:multiLevelType w:val="singleLevel"/>
    <w:tmpl w:val="5A6211B9"/>
    <w:lvl w:ilvl="0" w:tentative="0">
      <w:start w:val="1"/>
      <w:numFmt w:val="decimal"/>
      <w:suff w:val="nothing"/>
      <w:lvlText w:val="%1、"/>
      <w:lvlJc w:val="left"/>
    </w:lvl>
  </w:abstractNum>
  <w:abstractNum w:abstractNumId="7">
    <w:nsid w:val="7C892401"/>
    <w:multiLevelType w:val="singleLevel"/>
    <w:tmpl w:val="7C892401"/>
    <w:lvl w:ilvl="0" w:tentative="0">
      <w:start w:val="4"/>
      <w:numFmt w:val="chineseCounting"/>
      <w:suff w:val="nothing"/>
      <w:lvlText w:val="%1、"/>
      <w:lvlJc w:val="left"/>
      <w:rPr>
        <w:rFonts w:hint="eastAsia"/>
      </w:rPr>
    </w:lvl>
  </w:abstractNum>
  <w:num w:numId="1">
    <w:abstractNumId w:val="5"/>
  </w:num>
  <w:num w:numId="2">
    <w:abstractNumId w:val="2"/>
  </w:num>
  <w:num w:numId="3">
    <w:abstractNumId w:val="0"/>
  </w:num>
  <w:num w:numId="4">
    <w:abstractNumId w:val="1"/>
  </w:num>
  <w:num w:numId="5">
    <w:abstractNumId w:val="6"/>
  </w:num>
  <w:num w:numId="6">
    <w:abstractNumId w:val="7"/>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kODE0ZTcxMTU4MWFmZWFlZWM2MTVkYWM0YzBmNGIifQ=="/>
  </w:docVars>
  <w:rsids>
    <w:rsidRoot w:val="00162E69"/>
    <w:rsid w:val="00010F0E"/>
    <w:rsid w:val="00013BB5"/>
    <w:rsid w:val="000174E3"/>
    <w:rsid w:val="0008683E"/>
    <w:rsid w:val="0009116D"/>
    <w:rsid w:val="0009152D"/>
    <w:rsid w:val="000B16BD"/>
    <w:rsid w:val="00130F9C"/>
    <w:rsid w:val="00153D74"/>
    <w:rsid w:val="00157040"/>
    <w:rsid w:val="00162E69"/>
    <w:rsid w:val="00173FAB"/>
    <w:rsid w:val="001C697A"/>
    <w:rsid w:val="00207EAD"/>
    <w:rsid w:val="00210A1E"/>
    <w:rsid w:val="00227EFF"/>
    <w:rsid w:val="00235084"/>
    <w:rsid w:val="002551C7"/>
    <w:rsid w:val="00267D0D"/>
    <w:rsid w:val="00282F0C"/>
    <w:rsid w:val="002874AB"/>
    <w:rsid w:val="00295694"/>
    <w:rsid w:val="0029686A"/>
    <w:rsid w:val="002C14C4"/>
    <w:rsid w:val="002D6BA8"/>
    <w:rsid w:val="002E1D83"/>
    <w:rsid w:val="002F35E9"/>
    <w:rsid w:val="002F3B10"/>
    <w:rsid w:val="002F3CC2"/>
    <w:rsid w:val="00316BE0"/>
    <w:rsid w:val="00334158"/>
    <w:rsid w:val="00361D02"/>
    <w:rsid w:val="00362AC7"/>
    <w:rsid w:val="003A0171"/>
    <w:rsid w:val="003A2435"/>
    <w:rsid w:val="003C6AD4"/>
    <w:rsid w:val="003F701A"/>
    <w:rsid w:val="00414D6B"/>
    <w:rsid w:val="00443207"/>
    <w:rsid w:val="004A5780"/>
    <w:rsid w:val="004C20B5"/>
    <w:rsid w:val="004D66D3"/>
    <w:rsid w:val="004E02AE"/>
    <w:rsid w:val="004F5C7B"/>
    <w:rsid w:val="004F7271"/>
    <w:rsid w:val="005002F7"/>
    <w:rsid w:val="00504026"/>
    <w:rsid w:val="00516954"/>
    <w:rsid w:val="00567EB5"/>
    <w:rsid w:val="00594613"/>
    <w:rsid w:val="005A0FBB"/>
    <w:rsid w:val="005A3AB2"/>
    <w:rsid w:val="005A5A2E"/>
    <w:rsid w:val="005B097D"/>
    <w:rsid w:val="00651629"/>
    <w:rsid w:val="00676608"/>
    <w:rsid w:val="00695545"/>
    <w:rsid w:val="006C3554"/>
    <w:rsid w:val="006D229D"/>
    <w:rsid w:val="006D6FCF"/>
    <w:rsid w:val="006F11F3"/>
    <w:rsid w:val="00714900"/>
    <w:rsid w:val="007B6AE9"/>
    <w:rsid w:val="007E1CE4"/>
    <w:rsid w:val="007F282B"/>
    <w:rsid w:val="0081314C"/>
    <w:rsid w:val="00820655"/>
    <w:rsid w:val="008539B5"/>
    <w:rsid w:val="008974A1"/>
    <w:rsid w:val="008D625C"/>
    <w:rsid w:val="008F636A"/>
    <w:rsid w:val="00907171"/>
    <w:rsid w:val="009205AD"/>
    <w:rsid w:val="00931585"/>
    <w:rsid w:val="0095715D"/>
    <w:rsid w:val="009612A2"/>
    <w:rsid w:val="009647DC"/>
    <w:rsid w:val="009955F5"/>
    <w:rsid w:val="009C065D"/>
    <w:rsid w:val="009D2903"/>
    <w:rsid w:val="009F69B2"/>
    <w:rsid w:val="00A02C4C"/>
    <w:rsid w:val="00A231CF"/>
    <w:rsid w:val="00A30B24"/>
    <w:rsid w:val="00A670CA"/>
    <w:rsid w:val="00A7419F"/>
    <w:rsid w:val="00AB1EE2"/>
    <w:rsid w:val="00AE210B"/>
    <w:rsid w:val="00B20EBE"/>
    <w:rsid w:val="00B24C27"/>
    <w:rsid w:val="00B34955"/>
    <w:rsid w:val="00B41126"/>
    <w:rsid w:val="00B414A0"/>
    <w:rsid w:val="00B749E0"/>
    <w:rsid w:val="00B760D1"/>
    <w:rsid w:val="00BB37D6"/>
    <w:rsid w:val="00BC25FF"/>
    <w:rsid w:val="00BC72DC"/>
    <w:rsid w:val="00BD4793"/>
    <w:rsid w:val="00BF35B0"/>
    <w:rsid w:val="00BF7829"/>
    <w:rsid w:val="00C01134"/>
    <w:rsid w:val="00C13998"/>
    <w:rsid w:val="00C41669"/>
    <w:rsid w:val="00C90F59"/>
    <w:rsid w:val="00C95A40"/>
    <w:rsid w:val="00CF612D"/>
    <w:rsid w:val="00CF69DB"/>
    <w:rsid w:val="00D32D6E"/>
    <w:rsid w:val="00D44A2C"/>
    <w:rsid w:val="00D46B5A"/>
    <w:rsid w:val="00D53567"/>
    <w:rsid w:val="00D74591"/>
    <w:rsid w:val="00E007F0"/>
    <w:rsid w:val="00E015A7"/>
    <w:rsid w:val="00E017AB"/>
    <w:rsid w:val="00E05495"/>
    <w:rsid w:val="00E17A7A"/>
    <w:rsid w:val="00E24FD1"/>
    <w:rsid w:val="00E425AC"/>
    <w:rsid w:val="00E47319"/>
    <w:rsid w:val="00E65192"/>
    <w:rsid w:val="00EB216E"/>
    <w:rsid w:val="00F54668"/>
    <w:rsid w:val="00F859D8"/>
    <w:rsid w:val="00F85B2E"/>
    <w:rsid w:val="00F922E5"/>
    <w:rsid w:val="00F9488C"/>
    <w:rsid w:val="00FA5C0D"/>
    <w:rsid w:val="00FB32C9"/>
    <w:rsid w:val="00FD27C7"/>
    <w:rsid w:val="01105345"/>
    <w:rsid w:val="01273BB3"/>
    <w:rsid w:val="01614D19"/>
    <w:rsid w:val="017D756B"/>
    <w:rsid w:val="018E3B4B"/>
    <w:rsid w:val="01C51499"/>
    <w:rsid w:val="024A5484"/>
    <w:rsid w:val="024E0055"/>
    <w:rsid w:val="02530DB1"/>
    <w:rsid w:val="027942E1"/>
    <w:rsid w:val="02903C5B"/>
    <w:rsid w:val="02BB57CD"/>
    <w:rsid w:val="032F4556"/>
    <w:rsid w:val="035E14CF"/>
    <w:rsid w:val="03D375E7"/>
    <w:rsid w:val="03DB43EE"/>
    <w:rsid w:val="04B66E21"/>
    <w:rsid w:val="04B74C29"/>
    <w:rsid w:val="05400E23"/>
    <w:rsid w:val="05D9066C"/>
    <w:rsid w:val="0686369D"/>
    <w:rsid w:val="06A03C0D"/>
    <w:rsid w:val="06AF5581"/>
    <w:rsid w:val="06CB0DA5"/>
    <w:rsid w:val="06DB5C26"/>
    <w:rsid w:val="06E429F6"/>
    <w:rsid w:val="07812F0F"/>
    <w:rsid w:val="07F352C2"/>
    <w:rsid w:val="089125DD"/>
    <w:rsid w:val="089C4253"/>
    <w:rsid w:val="09287987"/>
    <w:rsid w:val="093D4F47"/>
    <w:rsid w:val="094C5B45"/>
    <w:rsid w:val="096612AA"/>
    <w:rsid w:val="097B066D"/>
    <w:rsid w:val="09B9246E"/>
    <w:rsid w:val="0A0D3122"/>
    <w:rsid w:val="0A3C574C"/>
    <w:rsid w:val="0A4B5BD5"/>
    <w:rsid w:val="0A6817D5"/>
    <w:rsid w:val="0A88537E"/>
    <w:rsid w:val="0B1C58F2"/>
    <w:rsid w:val="0B221C1F"/>
    <w:rsid w:val="0B540EFD"/>
    <w:rsid w:val="0C1C3C67"/>
    <w:rsid w:val="0C651D1C"/>
    <w:rsid w:val="0C7065C0"/>
    <w:rsid w:val="0CA7000C"/>
    <w:rsid w:val="0CD50F6F"/>
    <w:rsid w:val="0D0863AC"/>
    <w:rsid w:val="0D5109BA"/>
    <w:rsid w:val="0D673859"/>
    <w:rsid w:val="0DD94171"/>
    <w:rsid w:val="0E31575E"/>
    <w:rsid w:val="0E4F0975"/>
    <w:rsid w:val="0E91001E"/>
    <w:rsid w:val="0EE0182F"/>
    <w:rsid w:val="0EE9329E"/>
    <w:rsid w:val="0EF714AE"/>
    <w:rsid w:val="0EFA46E1"/>
    <w:rsid w:val="0F0201C6"/>
    <w:rsid w:val="0F04330D"/>
    <w:rsid w:val="0F1C53C8"/>
    <w:rsid w:val="0F8E5396"/>
    <w:rsid w:val="0FA41926"/>
    <w:rsid w:val="10376EDF"/>
    <w:rsid w:val="108B6B46"/>
    <w:rsid w:val="10B84498"/>
    <w:rsid w:val="1167027B"/>
    <w:rsid w:val="116F328A"/>
    <w:rsid w:val="118B369E"/>
    <w:rsid w:val="125F6F33"/>
    <w:rsid w:val="12B7360C"/>
    <w:rsid w:val="12B834A8"/>
    <w:rsid w:val="12CD2C28"/>
    <w:rsid w:val="137E59A4"/>
    <w:rsid w:val="13EE191E"/>
    <w:rsid w:val="142941EF"/>
    <w:rsid w:val="143A5CCC"/>
    <w:rsid w:val="14441D6B"/>
    <w:rsid w:val="14452BB4"/>
    <w:rsid w:val="145D3CCF"/>
    <w:rsid w:val="147B59A6"/>
    <w:rsid w:val="149E3D81"/>
    <w:rsid w:val="14C217C4"/>
    <w:rsid w:val="14D11654"/>
    <w:rsid w:val="152440FE"/>
    <w:rsid w:val="15597920"/>
    <w:rsid w:val="157074A0"/>
    <w:rsid w:val="15925D55"/>
    <w:rsid w:val="159D6762"/>
    <w:rsid w:val="162655A9"/>
    <w:rsid w:val="16AC415D"/>
    <w:rsid w:val="16E05039"/>
    <w:rsid w:val="171B43C9"/>
    <w:rsid w:val="180A549C"/>
    <w:rsid w:val="186E75B1"/>
    <w:rsid w:val="18A71B57"/>
    <w:rsid w:val="18C41929"/>
    <w:rsid w:val="18DE00A1"/>
    <w:rsid w:val="19073065"/>
    <w:rsid w:val="191838BE"/>
    <w:rsid w:val="192C1E7E"/>
    <w:rsid w:val="192C753C"/>
    <w:rsid w:val="193E3660"/>
    <w:rsid w:val="194F6074"/>
    <w:rsid w:val="19A30BF7"/>
    <w:rsid w:val="19DE1C65"/>
    <w:rsid w:val="1AA61FD0"/>
    <w:rsid w:val="1AD0724C"/>
    <w:rsid w:val="1B265BBC"/>
    <w:rsid w:val="1BA70C56"/>
    <w:rsid w:val="1BE01003"/>
    <w:rsid w:val="1C0A331B"/>
    <w:rsid w:val="1C661B92"/>
    <w:rsid w:val="1C7D7AAA"/>
    <w:rsid w:val="1C7F0C6F"/>
    <w:rsid w:val="1C9E4975"/>
    <w:rsid w:val="1CCE124A"/>
    <w:rsid w:val="1CF532B5"/>
    <w:rsid w:val="1CFA7E2B"/>
    <w:rsid w:val="1D122DD2"/>
    <w:rsid w:val="1D6A421C"/>
    <w:rsid w:val="1D755066"/>
    <w:rsid w:val="1D9527CA"/>
    <w:rsid w:val="1DDC1EF4"/>
    <w:rsid w:val="1E0304F7"/>
    <w:rsid w:val="1E333982"/>
    <w:rsid w:val="1E4F3A2A"/>
    <w:rsid w:val="1E6F1017"/>
    <w:rsid w:val="1E8572E3"/>
    <w:rsid w:val="1E8B466B"/>
    <w:rsid w:val="1F2D76AA"/>
    <w:rsid w:val="1F527475"/>
    <w:rsid w:val="1FDD50B4"/>
    <w:rsid w:val="1FEB4EE7"/>
    <w:rsid w:val="200A4779"/>
    <w:rsid w:val="201E3F1D"/>
    <w:rsid w:val="203E687D"/>
    <w:rsid w:val="20610918"/>
    <w:rsid w:val="20687236"/>
    <w:rsid w:val="20743F84"/>
    <w:rsid w:val="20840175"/>
    <w:rsid w:val="209851F4"/>
    <w:rsid w:val="20A9202A"/>
    <w:rsid w:val="21097C5E"/>
    <w:rsid w:val="21783AF4"/>
    <w:rsid w:val="21AD6F79"/>
    <w:rsid w:val="21AF4947"/>
    <w:rsid w:val="21C742FB"/>
    <w:rsid w:val="21DA51AE"/>
    <w:rsid w:val="21DD3AFB"/>
    <w:rsid w:val="220E522B"/>
    <w:rsid w:val="22153B9B"/>
    <w:rsid w:val="22153E65"/>
    <w:rsid w:val="22BC4733"/>
    <w:rsid w:val="22CC79A2"/>
    <w:rsid w:val="22DD0772"/>
    <w:rsid w:val="22E86DD5"/>
    <w:rsid w:val="23157F33"/>
    <w:rsid w:val="23563402"/>
    <w:rsid w:val="23B74369"/>
    <w:rsid w:val="2421281F"/>
    <w:rsid w:val="24242165"/>
    <w:rsid w:val="2456024F"/>
    <w:rsid w:val="24886262"/>
    <w:rsid w:val="24EF01C5"/>
    <w:rsid w:val="24F83A3F"/>
    <w:rsid w:val="25106DE4"/>
    <w:rsid w:val="251E0D53"/>
    <w:rsid w:val="253E4E26"/>
    <w:rsid w:val="258F38CE"/>
    <w:rsid w:val="25EA3493"/>
    <w:rsid w:val="2620469B"/>
    <w:rsid w:val="263621EC"/>
    <w:rsid w:val="26BB413B"/>
    <w:rsid w:val="2708039E"/>
    <w:rsid w:val="270D0295"/>
    <w:rsid w:val="275C61B3"/>
    <w:rsid w:val="280901BC"/>
    <w:rsid w:val="280A7C01"/>
    <w:rsid w:val="28172443"/>
    <w:rsid w:val="28192BA8"/>
    <w:rsid w:val="281E34C8"/>
    <w:rsid w:val="28471574"/>
    <w:rsid w:val="2856752B"/>
    <w:rsid w:val="28D112BD"/>
    <w:rsid w:val="2939062D"/>
    <w:rsid w:val="29A5732B"/>
    <w:rsid w:val="29BE667B"/>
    <w:rsid w:val="2A5241B2"/>
    <w:rsid w:val="2B6E5171"/>
    <w:rsid w:val="2B757A8F"/>
    <w:rsid w:val="2BB44733"/>
    <w:rsid w:val="2BEB02D5"/>
    <w:rsid w:val="2BF460B6"/>
    <w:rsid w:val="2C396ED9"/>
    <w:rsid w:val="2C422975"/>
    <w:rsid w:val="2C651040"/>
    <w:rsid w:val="2CC824D9"/>
    <w:rsid w:val="2CCA5554"/>
    <w:rsid w:val="2D087C44"/>
    <w:rsid w:val="2D3F1BAA"/>
    <w:rsid w:val="2D4A1949"/>
    <w:rsid w:val="2D9F1813"/>
    <w:rsid w:val="2E1B6713"/>
    <w:rsid w:val="2E4D502D"/>
    <w:rsid w:val="2E8C6F0A"/>
    <w:rsid w:val="2EA01057"/>
    <w:rsid w:val="2ED75591"/>
    <w:rsid w:val="2F3B1961"/>
    <w:rsid w:val="2F63011E"/>
    <w:rsid w:val="2FED6060"/>
    <w:rsid w:val="3044782D"/>
    <w:rsid w:val="306A132E"/>
    <w:rsid w:val="30755D76"/>
    <w:rsid w:val="307608C8"/>
    <w:rsid w:val="3079081E"/>
    <w:rsid w:val="309B3DA9"/>
    <w:rsid w:val="314B0D70"/>
    <w:rsid w:val="317A7DCD"/>
    <w:rsid w:val="31CF10A4"/>
    <w:rsid w:val="32032194"/>
    <w:rsid w:val="326C4F06"/>
    <w:rsid w:val="326D032E"/>
    <w:rsid w:val="3283428D"/>
    <w:rsid w:val="329B2A40"/>
    <w:rsid w:val="32E10062"/>
    <w:rsid w:val="33154745"/>
    <w:rsid w:val="33332A86"/>
    <w:rsid w:val="33970E36"/>
    <w:rsid w:val="344565E7"/>
    <w:rsid w:val="345B2201"/>
    <w:rsid w:val="346F2C37"/>
    <w:rsid w:val="34CE5868"/>
    <w:rsid w:val="34EC4496"/>
    <w:rsid w:val="350C3CBC"/>
    <w:rsid w:val="35244743"/>
    <w:rsid w:val="3539135E"/>
    <w:rsid w:val="35393335"/>
    <w:rsid w:val="355A2C3B"/>
    <w:rsid w:val="35B35927"/>
    <w:rsid w:val="35F91AF5"/>
    <w:rsid w:val="360C3482"/>
    <w:rsid w:val="361B2C64"/>
    <w:rsid w:val="364A3C5A"/>
    <w:rsid w:val="364C6C06"/>
    <w:rsid w:val="36564E62"/>
    <w:rsid w:val="36A51CCA"/>
    <w:rsid w:val="36AA6A4A"/>
    <w:rsid w:val="36DD32A2"/>
    <w:rsid w:val="36F80826"/>
    <w:rsid w:val="374101FF"/>
    <w:rsid w:val="37563B53"/>
    <w:rsid w:val="37672C5E"/>
    <w:rsid w:val="37A2507D"/>
    <w:rsid w:val="37F852F0"/>
    <w:rsid w:val="37FE1EED"/>
    <w:rsid w:val="381936A1"/>
    <w:rsid w:val="38983C63"/>
    <w:rsid w:val="38F567D8"/>
    <w:rsid w:val="392212CB"/>
    <w:rsid w:val="3934614D"/>
    <w:rsid w:val="39495D32"/>
    <w:rsid w:val="39703B43"/>
    <w:rsid w:val="39C7097A"/>
    <w:rsid w:val="39D40806"/>
    <w:rsid w:val="3A3F0D01"/>
    <w:rsid w:val="3A443180"/>
    <w:rsid w:val="3B110DE1"/>
    <w:rsid w:val="3B6F0D3B"/>
    <w:rsid w:val="3BC52383"/>
    <w:rsid w:val="3BD506F8"/>
    <w:rsid w:val="3BDB0441"/>
    <w:rsid w:val="3BEB4264"/>
    <w:rsid w:val="3C02687A"/>
    <w:rsid w:val="3C8407FD"/>
    <w:rsid w:val="3C967CC6"/>
    <w:rsid w:val="3CA54FD4"/>
    <w:rsid w:val="3CF70D98"/>
    <w:rsid w:val="3D1962EE"/>
    <w:rsid w:val="3D2A6CD9"/>
    <w:rsid w:val="3D2E2406"/>
    <w:rsid w:val="3DE60658"/>
    <w:rsid w:val="3E0A5CBD"/>
    <w:rsid w:val="3E845DF0"/>
    <w:rsid w:val="3EB5310C"/>
    <w:rsid w:val="3EB63AD8"/>
    <w:rsid w:val="3EF33A52"/>
    <w:rsid w:val="3F231F91"/>
    <w:rsid w:val="3F2A5DBF"/>
    <w:rsid w:val="3F6E2DD2"/>
    <w:rsid w:val="3FD72310"/>
    <w:rsid w:val="40082706"/>
    <w:rsid w:val="403705BE"/>
    <w:rsid w:val="412F0313"/>
    <w:rsid w:val="4196295D"/>
    <w:rsid w:val="41A3013D"/>
    <w:rsid w:val="41BE1F00"/>
    <w:rsid w:val="41C92D11"/>
    <w:rsid w:val="41E04540"/>
    <w:rsid w:val="41E141FB"/>
    <w:rsid w:val="42124109"/>
    <w:rsid w:val="42276D71"/>
    <w:rsid w:val="423237AD"/>
    <w:rsid w:val="42547DC4"/>
    <w:rsid w:val="426E47A6"/>
    <w:rsid w:val="428A6563"/>
    <w:rsid w:val="428C6EE6"/>
    <w:rsid w:val="429B5446"/>
    <w:rsid w:val="42BE4E63"/>
    <w:rsid w:val="43072BC5"/>
    <w:rsid w:val="437E50AA"/>
    <w:rsid w:val="44EF0640"/>
    <w:rsid w:val="45247CE8"/>
    <w:rsid w:val="452A68B7"/>
    <w:rsid w:val="45A262C1"/>
    <w:rsid w:val="45C36BA1"/>
    <w:rsid w:val="45D01CFB"/>
    <w:rsid w:val="45DA774D"/>
    <w:rsid w:val="46157AEA"/>
    <w:rsid w:val="466B51BA"/>
    <w:rsid w:val="466D47C1"/>
    <w:rsid w:val="46906F70"/>
    <w:rsid w:val="46C3655A"/>
    <w:rsid w:val="46CA4028"/>
    <w:rsid w:val="473432A8"/>
    <w:rsid w:val="479C3E56"/>
    <w:rsid w:val="48013E08"/>
    <w:rsid w:val="48327C0E"/>
    <w:rsid w:val="487A7004"/>
    <w:rsid w:val="48810722"/>
    <w:rsid w:val="489902E5"/>
    <w:rsid w:val="48AF12B2"/>
    <w:rsid w:val="48D964E8"/>
    <w:rsid w:val="491867F3"/>
    <w:rsid w:val="492371BD"/>
    <w:rsid w:val="492B4668"/>
    <w:rsid w:val="493847C0"/>
    <w:rsid w:val="494C5E9D"/>
    <w:rsid w:val="49860D83"/>
    <w:rsid w:val="498B568A"/>
    <w:rsid w:val="4A172D36"/>
    <w:rsid w:val="4A3E1CC9"/>
    <w:rsid w:val="4A7335C0"/>
    <w:rsid w:val="4A81375A"/>
    <w:rsid w:val="4AEA6A7D"/>
    <w:rsid w:val="4B0D5BE7"/>
    <w:rsid w:val="4B236DB6"/>
    <w:rsid w:val="4B4B4EA1"/>
    <w:rsid w:val="4B9D0EBD"/>
    <w:rsid w:val="4BA02C60"/>
    <w:rsid w:val="4BAE4A06"/>
    <w:rsid w:val="4BB60EB5"/>
    <w:rsid w:val="4BC243BB"/>
    <w:rsid w:val="4BC60F84"/>
    <w:rsid w:val="4BD04300"/>
    <w:rsid w:val="4BE34C4D"/>
    <w:rsid w:val="4BF41F4E"/>
    <w:rsid w:val="4C5201A4"/>
    <w:rsid w:val="4CC86CC9"/>
    <w:rsid w:val="4CCF09BE"/>
    <w:rsid w:val="4CF33FA5"/>
    <w:rsid w:val="4CFC4088"/>
    <w:rsid w:val="4CFE1A9C"/>
    <w:rsid w:val="4D324566"/>
    <w:rsid w:val="4D596748"/>
    <w:rsid w:val="4D6059EC"/>
    <w:rsid w:val="4D6D7FAB"/>
    <w:rsid w:val="4DBA1DA5"/>
    <w:rsid w:val="4DBA5D05"/>
    <w:rsid w:val="4DCA37C1"/>
    <w:rsid w:val="4E007688"/>
    <w:rsid w:val="4E2D3D5C"/>
    <w:rsid w:val="4EC07358"/>
    <w:rsid w:val="4F0513DA"/>
    <w:rsid w:val="4F376B1D"/>
    <w:rsid w:val="4F4679CA"/>
    <w:rsid w:val="4F8D0068"/>
    <w:rsid w:val="4F952DFE"/>
    <w:rsid w:val="4FC74215"/>
    <w:rsid w:val="5019146F"/>
    <w:rsid w:val="50512FE6"/>
    <w:rsid w:val="50612E8B"/>
    <w:rsid w:val="50617C41"/>
    <w:rsid w:val="50A43300"/>
    <w:rsid w:val="50AE2746"/>
    <w:rsid w:val="50B9004F"/>
    <w:rsid w:val="50CF6712"/>
    <w:rsid w:val="51002C4A"/>
    <w:rsid w:val="5101068D"/>
    <w:rsid w:val="51084EA8"/>
    <w:rsid w:val="519336D8"/>
    <w:rsid w:val="51CE51EA"/>
    <w:rsid w:val="5218370D"/>
    <w:rsid w:val="52871360"/>
    <w:rsid w:val="535206BD"/>
    <w:rsid w:val="536D20C4"/>
    <w:rsid w:val="538C7C5D"/>
    <w:rsid w:val="540E5D6C"/>
    <w:rsid w:val="542B036D"/>
    <w:rsid w:val="5451544E"/>
    <w:rsid w:val="54806AB8"/>
    <w:rsid w:val="549A2CAE"/>
    <w:rsid w:val="54C2184C"/>
    <w:rsid w:val="54C54FBA"/>
    <w:rsid w:val="54E15429"/>
    <w:rsid w:val="54EC6149"/>
    <w:rsid w:val="54FA5FD4"/>
    <w:rsid w:val="55101984"/>
    <w:rsid w:val="55250E38"/>
    <w:rsid w:val="552B10D4"/>
    <w:rsid w:val="556028EC"/>
    <w:rsid w:val="55A55F45"/>
    <w:rsid w:val="55B37466"/>
    <w:rsid w:val="55BB2424"/>
    <w:rsid w:val="55C65894"/>
    <w:rsid w:val="564A21FF"/>
    <w:rsid w:val="568A1349"/>
    <w:rsid w:val="569F0D3E"/>
    <w:rsid w:val="56E76BBF"/>
    <w:rsid w:val="571578E4"/>
    <w:rsid w:val="574E1156"/>
    <w:rsid w:val="574E2A95"/>
    <w:rsid w:val="57770A0E"/>
    <w:rsid w:val="58017D40"/>
    <w:rsid w:val="58483979"/>
    <w:rsid w:val="585E79A4"/>
    <w:rsid w:val="587B73BC"/>
    <w:rsid w:val="58BE45F5"/>
    <w:rsid w:val="591F4341"/>
    <w:rsid w:val="592917F0"/>
    <w:rsid w:val="59321074"/>
    <w:rsid w:val="596D0E2D"/>
    <w:rsid w:val="597B2632"/>
    <w:rsid w:val="5990017E"/>
    <w:rsid w:val="59D66195"/>
    <w:rsid w:val="59D72358"/>
    <w:rsid w:val="5A0E12F4"/>
    <w:rsid w:val="5A5460ED"/>
    <w:rsid w:val="5A7036C8"/>
    <w:rsid w:val="5AA90C84"/>
    <w:rsid w:val="5AA97B20"/>
    <w:rsid w:val="5AB02E8A"/>
    <w:rsid w:val="5AD7215D"/>
    <w:rsid w:val="5B0F1C6A"/>
    <w:rsid w:val="5B331D02"/>
    <w:rsid w:val="5B4747F9"/>
    <w:rsid w:val="5B765B1C"/>
    <w:rsid w:val="5B914D11"/>
    <w:rsid w:val="5BA75F91"/>
    <w:rsid w:val="5BD445C5"/>
    <w:rsid w:val="5C3A0886"/>
    <w:rsid w:val="5C4E1185"/>
    <w:rsid w:val="5C58390B"/>
    <w:rsid w:val="5CC90C1B"/>
    <w:rsid w:val="5D770D5D"/>
    <w:rsid w:val="5DB5537E"/>
    <w:rsid w:val="5E1C4F9F"/>
    <w:rsid w:val="5E3175FC"/>
    <w:rsid w:val="5E89110A"/>
    <w:rsid w:val="5F9D44D9"/>
    <w:rsid w:val="5FB021B8"/>
    <w:rsid w:val="5FCA263B"/>
    <w:rsid w:val="5FF06E8B"/>
    <w:rsid w:val="60120163"/>
    <w:rsid w:val="605979B2"/>
    <w:rsid w:val="60B357B5"/>
    <w:rsid w:val="60C94158"/>
    <w:rsid w:val="610A0594"/>
    <w:rsid w:val="617B22F6"/>
    <w:rsid w:val="61B63C13"/>
    <w:rsid w:val="62427A01"/>
    <w:rsid w:val="62C36BFA"/>
    <w:rsid w:val="630642A7"/>
    <w:rsid w:val="632A00C2"/>
    <w:rsid w:val="63672E32"/>
    <w:rsid w:val="643B397E"/>
    <w:rsid w:val="6453240E"/>
    <w:rsid w:val="64627260"/>
    <w:rsid w:val="64D50563"/>
    <w:rsid w:val="64E539C0"/>
    <w:rsid w:val="64F347C0"/>
    <w:rsid w:val="64F94712"/>
    <w:rsid w:val="651E1CC8"/>
    <w:rsid w:val="65664C18"/>
    <w:rsid w:val="656F4186"/>
    <w:rsid w:val="657830C4"/>
    <w:rsid w:val="65C62DFF"/>
    <w:rsid w:val="666950C1"/>
    <w:rsid w:val="666F46F5"/>
    <w:rsid w:val="66987AAF"/>
    <w:rsid w:val="66D33638"/>
    <w:rsid w:val="66E43B8A"/>
    <w:rsid w:val="66E919DB"/>
    <w:rsid w:val="66F77BEF"/>
    <w:rsid w:val="670157D7"/>
    <w:rsid w:val="6721723D"/>
    <w:rsid w:val="67893F0B"/>
    <w:rsid w:val="67F84ACC"/>
    <w:rsid w:val="6815365B"/>
    <w:rsid w:val="68470535"/>
    <w:rsid w:val="69126A56"/>
    <w:rsid w:val="692C44FE"/>
    <w:rsid w:val="69320663"/>
    <w:rsid w:val="69E95A08"/>
    <w:rsid w:val="6A372071"/>
    <w:rsid w:val="6A8C32AB"/>
    <w:rsid w:val="6A8C5542"/>
    <w:rsid w:val="6AFC176B"/>
    <w:rsid w:val="6B941CE1"/>
    <w:rsid w:val="6CA7232D"/>
    <w:rsid w:val="6CE7628D"/>
    <w:rsid w:val="6D0F39F4"/>
    <w:rsid w:val="6D2A25C0"/>
    <w:rsid w:val="6D894577"/>
    <w:rsid w:val="6DE568EE"/>
    <w:rsid w:val="6E2B3C2B"/>
    <w:rsid w:val="6E311900"/>
    <w:rsid w:val="6E48357E"/>
    <w:rsid w:val="6E700740"/>
    <w:rsid w:val="6E710738"/>
    <w:rsid w:val="6E74461C"/>
    <w:rsid w:val="6E7D1B47"/>
    <w:rsid w:val="6E814537"/>
    <w:rsid w:val="6E947B46"/>
    <w:rsid w:val="6EAA7332"/>
    <w:rsid w:val="6EB42355"/>
    <w:rsid w:val="6EB74985"/>
    <w:rsid w:val="6EC57EA7"/>
    <w:rsid w:val="6F4A0A3A"/>
    <w:rsid w:val="6FEA6C33"/>
    <w:rsid w:val="7025453F"/>
    <w:rsid w:val="709715FA"/>
    <w:rsid w:val="70AD75A8"/>
    <w:rsid w:val="70B87E23"/>
    <w:rsid w:val="713E1263"/>
    <w:rsid w:val="714D1A2B"/>
    <w:rsid w:val="716843C2"/>
    <w:rsid w:val="717D0D65"/>
    <w:rsid w:val="718D6764"/>
    <w:rsid w:val="71AD00C3"/>
    <w:rsid w:val="71AF70D9"/>
    <w:rsid w:val="71D8418A"/>
    <w:rsid w:val="71F2365F"/>
    <w:rsid w:val="72016889"/>
    <w:rsid w:val="72024AB3"/>
    <w:rsid w:val="721566FF"/>
    <w:rsid w:val="721E7BBD"/>
    <w:rsid w:val="7244304C"/>
    <w:rsid w:val="7322579A"/>
    <w:rsid w:val="73892FEB"/>
    <w:rsid w:val="73944442"/>
    <w:rsid w:val="740876C9"/>
    <w:rsid w:val="743D3413"/>
    <w:rsid w:val="7465385E"/>
    <w:rsid w:val="746C0353"/>
    <w:rsid w:val="74CF652A"/>
    <w:rsid w:val="751A7C13"/>
    <w:rsid w:val="754F3B7B"/>
    <w:rsid w:val="756A3F0D"/>
    <w:rsid w:val="756F1ED2"/>
    <w:rsid w:val="75767BCE"/>
    <w:rsid w:val="75D21260"/>
    <w:rsid w:val="75D75D65"/>
    <w:rsid w:val="76147AD4"/>
    <w:rsid w:val="76247529"/>
    <w:rsid w:val="762B7BF3"/>
    <w:rsid w:val="762E6250"/>
    <w:rsid w:val="76347B57"/>
    <w:rsid w:val="76550652"/>
    <w:rsid w:val="766E6878"/>
    <w:rsid w:val="769F3936"/>
    <w:rsid w:val="76C50414"/>
    <w:rsid w:val="77164E05"/>
    <w:rsid w:val="773B33BC"/>
    <w:rsid w:val="77553161"/>
    <w:rsid w:val="77AD1031"/>
    <w:rsid w:val="77EA30C7"/>
    <w:rsid w:val="78277D72"/>
    <w:rsid w:val="788412BC"/>
    <w:rsid w:val="78A50E11"/>
    <w:rsid w:val="78B74FA3"/>
    <w:rsid w:val="78D7568E"/>
    <w:rsid w:val="79217194"/>
    <w:rsid w:val="792471F4"/>
    <w:rsid w:val="79CB078C"/>
    <w:rsid w:val="79CF3A73"/>
    <w:rsid w:val="79FE1BF4"/>
    <w:rsid w:val="7A1830B4"/>
    <w:rsid w:val="7A2F00CB"/>
    <w:rsid w:val="7A4501AE"/>
    <w:rsid w:val="7A7A0F16"/>
    <w:rsid w:val="7AFA3202"/>
    <w:rsid w:val="7B0517DD"/>
    <w:rsid w:val="7B2703F5"/>
    <w:rsid w:val="7B7B202D"/>
    <w:rsid w:val="7B8C2698"/>
    <w:rsid w:val="7BC62CEF"/>
    <w:rsid w:val="7BDD5C4D"/>
    <w:rsid w:val="7C453888"/>
    <w:rsid w:val="7C562F9E"/>
    <w:rsid w:val="7D0575FB"/>
    <w:rsid w:val="7D26467B"/>
    <w:rsid w:val="7D5F27BD"/>
    <w:rsid w:val="7E4070B1"/>
    <w:rsid w:val="7EF53657"/>
    <w:rsid w:val="7F0026C7"/>
    <w:rsid w:val="7F4A368C"/>
    <w:rsid w:val="7FA04DDD"/>
    <w:rsid w:val="7FD57B0A"/>
    <w:rsid w:val="7FF828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99"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qFormat="1" w:uiPriority="39" w:semiHidden="0"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qFormat/>
    <w:uiPriority w:val="0"/>
    <w:pPr>
      <w:ind w:firstLine="420" w:firstLineChars="200"/>
    </w:pPr>
    <w:rPr>
      <w:rFonts w:ascii="Calibri" w:hAnsi="Calibri"/>
      <w:szCs w:val="22"/>
    </w:rPr>
  </w:style>
  <w:style w:type="paragraph" w:styleId="6">
    <w:name w:val="annotation text"/>
    <w:basedOn w:val="1"/>
    <w:link w:val="40"/>
    <w:qFormat/>
    <w:uiPriority w:val="0"/>
    <w:pPr>
      <w:jc w:val="left"/>
    </w:pPr>
    <w:rPr>
      <w:rFonts w:ascii="Times New Roman" w:hAnsi="Times New Roman" w:eastAsia="宋体" w:cs="Times New Roman"/>
      <w:szCs w:val="20"/>
    </w:rPr>
  </w:style>
  <w:style w:type="paragraph" w:styleId="7">
    <w:name w:val="Body Text"/>
    <w:basedOn w:val="1"/>
    <w:qFormat/>
    <w:uiPriority w:val="0"/>
    <w:rPr>
      <w:rFonts w:cs="Times New Roman"/>
      <w:sz w:val="20"/>
      <w:szCs w:val="20"/>
    </w:rPr>
  </w:style>
  <w:style w:type="paragraph" w:styleId="8">
    <w:name w:val="Block Text"/>
    <w:basedOn w:val="1"/>
    <w:qFormat/>
    <w:uiPriority w:val="0"/>
    <w:pPr>
      <w:spacing w:after="120"/>
      <w:ind w:left="1440" w:leftChars="700" w:right="1440" w:rightChars="700"/>
    </w:pPr>
  </w:style>
  <w:style w:type="paragraph" w:styleId="9">
    <w:name w:val="index 4"/>
    <w:basedOn w:val="1"/>
    <w:next w:val="1"/>
    <w:qFormat/>
    <w:uiPriority w:val="99"/>
    <w:pPr>
      <w:adjustRightInd w:val="0"/>
      <w:spacing w:line="360" w:lineRule="auto"/>
      <w:ind w:left="960" w:hanging="240"/>
      <w:jc w:val="left"/>
    </w:pPr>
    <w:rPr>
      <w:sz w:val="20"/>
    </w:rPr>
  </w:style>
  <w:style w:type="paragraph" w:styleId="10">
    <w:name w:val="toc 3"/>
    <w:basedOn w:val="1"/>
    <w:next w:val="1"/>
    <w:unhideWhenUsed/>
    <w:qFormat/>
    <w:uiPriority w:val="39"/>
    <w:pPr>
      <w:tabs>
        <w:tab w:val="right" w:leader="dot" w:pos="8296"/>
      </w:tabs>
      <w:spacing w:line="480" w:lineRule="auto"/>
      <w:ind w:left="840" w:leftChars="400"/>
    </w:pPr>
  </w:style>
  <w:style w:type="paragraph" w:styleId="11">
    <w:name w:val="Plain Text"/>
    <w:basedOn w:val="1"/>
    <w:qFormat/>
    <w:uiPriority w:val="0"/>
    <w:rPr>
      <w:rFonts w:ascii="宋体" w:hAnsi="Courier New"/>
    </w:rPr>
  </w:style>
  <w:style w:type="paragraph" w:styleId="12">
    <w:name w:val="Balloon Text"/>
    <w:basedOn w:val="1"/>
    <w:link w:val="42"/>
    <w:semiHidden/>
    <w:unhideWhenUsed/>
    <w:qFormat/>
    <w:uiPriority w:val="99"/>
    <w:rPr>
      <w:sz w:val="18"/>
      <w:szCs w:val="18"/>
    </w:rPr>
  </w:style>
  <w:style w:type="paragraph" w:styleId="13">
    <w:name w:val="footer"/>
    <w:basedOn w:val="1"/>
    <w:link w:val="34"/>
    <w:unhideWhenUsed/>
    <w:qFormat/>
    <w:uiPriority w:val="99"/>
    <w:pPr>
      <w:tabs>
        <w:tab w:val="center" w:pos="4153"/>
        <w:tab w:val="right" w:pos="8306"/>
      </w:tabs>
      <w:snapToGrid w:val="0"/>
      <w:jc w:val="left"/>
    </w:pPr>
    <w:rPr>
      <w:sz w:val="18"/>
      <w:szCs w:val="18"/>
    </w:rPr>
  </w:style>
  <w:style w:type="paragraph" w:styleId="14">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6"/>
    <w:basedOn w:val="1"/>
    <w:next w:val="1"/>
    <w:unhideWhenUsed/>
    <w:qFormat/>
    <w:uiPriority w:val="39"/>
    <w:pPr>
      <w:spacing w:after="57" w:line="360" w:lineRule="auto"/>
      <w:ind w:left="1417"/>
    </w:pPr>
    <w:rPr>
      <w:rFonts w:eastAsia="仿宋" w:cs="Calibri"/>
      <w:kern w:val="0"/>
      <w:sz w:val="24"/>
      <w:szCs w:val="21"/>
    </w:rPr>
  </w:style>
  <w:style w:type="paragraph" w:styleId="17">
    <w:name w:val="Body Text Indent 3"/>
    <w:basedOn w:val="1"/>
    <w:link w:val="43"/>
    <w:qFormat/>
    <w:uiPriority w:val="0"/>
    <w:pPr>
      <w:spacing w:line="440" w:lineRule="atLeast"/>
      <w:ind w:firstLine="480" w:firstLineChars="200"/>
      <w:jc w:val="left"/>
    </w:pPr>
    <w:rPr>
      <w:rFonts w:ascii="Times New Roman" w:hAnsi="Times New Roman" w:eastAsia="宋体" w:cs="Times New Roman"/>
      <w:sz w:val="24"/>
      <w:szCs w:val="24"/>
    </w:rPr>
  </w:style>
  <w:style w:type="paragraph" w:styleId="18">
    <w:name w:val="table of figures"/>
    <w:basedOn w:val="1"/>
    <w:next w:val="1"/>
    <w:unhideWhenUsed/>
    <w:qFormat/>
    <w:uiPriority w:val="99"/>
    <w:pPr>
      <w:ind w:left="200" w:leftChars="200" w:hanging="200" w:hangingChars="200"/>
    </w:pPr>
  </w:style>
  <w:style w:type="paragraph" w:styleId="19">
    <w:name w:val="toc 2"/>
    <w:basedOn w:val="1"/>
    <w:next w:val="1"/>
    <w:unhideWhenUsed/>
    <w:qFormat/>
    <w:uiPriority w:val="39"/>
    <w:pPr>
      <w:ind w:left="420" w:leftChars="200"/>
    </w:pPr>
  </w:style>
  <w:style w:type="paragraph" w:styleId="20">
    <w:name w:val="Title"/>
    <w:basedOn w:val="1"/>
    <w:next w:val="1"/>
    <w:qFormat/>
    <w:uiPriority w:val="0"/>
    <w:pPr>
      <w:widowControl/>
      <w:spacing w:before="60" w:after="60"/>
      <w:jc w:val="center"/>
      <w:outlineLvl w:val="0"/>
    </w:pPr>
    <w:rPr>
      <w:rFonts w:ascii="Cambria" w:hAnsi="Cambria"/>
      <w:b/>
      <w:bCs/>
      <w:kern w:val="0"/>
      <w:sz w:val="24"/>
      <w:szCs w:val="32"/>
    </w:rPr>
  </w:style>
  <w:style w:type="paragraph" w:styleId="21">
    <w:name w:val="Body Text First Indent"/>
    <w:basedOn w:val="7"/>
    <w:next w:val="16"/>
    <w:qFormat/>
    <w:uiPriority w:val="0"/>
    <w:pPr>
      <w:spacing w:line="360" w:lineRule="auto"/>
      <w:ind w:firstLine="200" w:firstLineChars="200"/>
    </w:pPr>
    <w:rPr>
      <w:rFonts w:ascii="仿宋_GB2312" w:eastAsia="仿宋_GB2312"/>
      <w:sz w:val="30"/>
      <w:szCs w:val="30"/>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page number"/>
    <w:basedOn w:val="24"/>
    <w:qFormat/>
    <w:uiPriority w:val="0"/>
  </w:style>
  <w:style w:type="character" w:styleId="26">
    <w:name w:val="Hyperlink"/>
    <w:basedOn w:val="24"/>
    <w:unhideWhenUsed/>
    <w:qFormat/>
    <w:uiPriority w:val="99"/>
    <w:rPr>
      <w:color w:val="0000FF" w:themeColor="hyperlink"/>
      <w:u w:val="single"/>
      <w14:textFill>
        <w14:solidFill>
          <w14:schemeClr w14:val="hlink"/>
        </w14:solidFill>
      </w14:textFill>
    </w:rPr>
  </w:style>
  <w:style w:type="character" w:styleId="27">
    <w:name w:val="annotation reference"/>
    <w:semiHidden/>
    <w:unhideWhenUsed/>
    <w:qFormat/>
    <w:uiPriority w:val="99"/>
    <w:rPr>
      <w:sz w:val="21"/>
      <w:szCs w:val="21"/>
    </w:rPr>
  </w:style>
  <w:style w:type="paragraph" w:customStyle="1" w:styleId="28">
    <w:name w:val="Default"/>
    <w:qFormat/>
    <w:uiPriority w:val="0"/>
    <w:pPr>
      <w:widowControl w:val="0"/>
    </w:pPr>
    <w:rPr>
      <w:rFonts w:ascii="Symbol" w:hAnsi="Symbol" w:eastAsia="宋体" w:cs="Symbol"/>
      <w:color w:val="000000"/>
      <w:sz w:val="24"/>
      <w:szCs w:val="24"/>
      <w:lang w:val="en-US" w:eastAsia="zh-CN" w:bidi="ar-SA"/>
    </w:rPr>
  </w:style>
  <w:style w:type="paragraph" w:customStyle="1" w:styleId="29">
    <w:name w:val="一级条标题"/>
    <w:basedOn w:val="30"/>
    <w:next w:val="31"/>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30">
    <w:name w:val="章标题"/>
    <w:next w:val="1"/>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31">
    <w:name w:val="段"/>
    <w:next w:val="32"/>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
    <w:name w:val="正文 A"/>
    <w:next w:val="31"/>
    <w:qFormat/>
    <w:uiPriority w:val="0"/>
    <w:pPr>
      <w:widowControl w:val="0"/>
      <w:jc w:val="both"/>
    </w:pPr>
    <w:rPr>
      <w:rFonts w:ascii="Times New Roman" w:hAnsi="Times New Roman" w:eastAsia="Calibri" w:cs="Calibri"/>
      <w:color w:val="000000"/>
      <w:kern w:val="2"/>
      <w:sz w:val="21"/>
      <w:szCs w:val="21"/>
      <w:lang w:val="en-US" w:eastAsia="zh-CN" w:bidi="ar-SA"/>
    </w:rPr>
  </w:style>
  <w:style w:type="character" w:customStyle="1" w:styleId="33">
    <w:name w:val="页眉 Char"/>
    <w:basedOn w:val="24"/>
    <w:link w:val="14"/>
    <w:qFormat/>
    <w:uiPriority w:val="99"/>
    <w:rPr>
      <w:sz w:val="18"/>
      <w:szCs w:val="18"/>
    </w:rPr>
  </w:style>
  <w:style w:type="character" w:customStyle="1" w:styleId="34">
    <w:name w:val="页脚 Char"/>
    <w:basedOn w:val="24"/>
    <w:link w:val="13"/>
    <w:qFormat/>
    <w:uiPriority w:val="99"/>
    <w:rPr>
      <w:sz w:val="18"/>
      <w:szCs w:val="18"/>
    </w:rPr>
  </w:style>
  <w:style w:type="character" w:customStyle="1" w:styleId="35">
    <w:name w:val="标题 1 Char"/>
    <w:basedOn w:val="24"/>
    <w:link w:val="3"/>
    <w:qFormat/>
    <w:uiPriority w:val="9"/>
    <w:rPr>
      <w:b/>
      <w:bCs/>
      <w:kern w:val="44"/>
      <w:sz w:val="44"/>
      <w:szCs w:val="44"/>
    </w:rPr>
  </w:style>
  <w:style w:type="character" w:customStyle="1" w:styleId="36">
    <w:name w:val="标题 2 Char"/>
    <w:basedOn w:val="24"/>
    <w:link w:val="4"/>
    <w:qFormat/>
    <w:uiPriority w:val="9"/>
    <w:rPr>
      <w:rFonts w:asciiTheme="majorHAnsi" w:hAnsiTheme="majorHAnsi" w:eastAsiaTheme="majorEastAsia" w:cstheme="majorBidi"/>
      <w:b/>
      <w:bCs/>
      <w:sz w:val="32"/>
      <w:szCs w:val="32"/>
    </w:rPr>
  </w:style>
  <w:style w:type="paragraph" w:styleId="37">
    <w:name w:val="List Paragraph"/>
    <w:basedOn w:val="1"/>
    <w:link w:val="38"/>
    <w:qFormat/>
    <w:uiPriority w:val="34"/>
    <w:pPr>
      <w:ind w:firstLine="420" w:firstLineChars="200"/>
    </w:pPr>
  </w:style>
  <w:style w:type="character" w:customStyle="1" w:styleId="38">
    <w:name w:val="列出段落 Char"/>
    <w:link w:val="37"/>
    <w:qFormat/>
    <w:uiPriority w:val="34"/>
  </w:style>
  <w:style w:type="character" w:customStyle="1" w:styleId="39">
    <w:name w:val="批注文字 Char"/>
    <w:basedOn w:val="24"/>
    <w:semiHidden/>
    <w:qFormat/>
    <w:uiPriority w:val="99"/>
  </w:style>
  <w:style w:type="character" w:customStyle="1" w:styleId="40">
    <w:name w:val="批注文字 Char1"/>
    <w:link w:val="6"/>
    <w:qFormat/>
    <w:uiPriority w:val="0"/>
    <w:rPr>
      <w:rFonts w:ascii="Times New Roman" w:hAnsi="Times New Roman" w:eastAsia="宋体" w:cs="Times New Roman"/>
      <w:szCs w:val="20"/>
    </w:rPr>
  </w:style>
  <w:style w:type="paragraph" w:customStyle="1" w:styleId="41">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2">
    <w:name w:val="批注框文本 Char"/>
    <w:basedOn w:val="24"/>
    <w:link w:val="12"/>
    <w:semiHidden/>
    <w:qFormat/>
    <w:uiPriority w:val="99"/>
    <w:rPr>
      <w:sz w:val="18"/>
      <w:szCs w:val="18"/>
    </w:rPr>
  </w:style>
  <w:style w:type="character" w:customStyle="1" w:styleId="43">
    <w:name w:val="正文文本缩进 3 Char"/>
    <w:basedOn w:val="24"/>
    <w:link w:val="17"/>
    <w:qFormat/>
    <w:uiPriority w:val="0"/>
    <w:rPr>
      <w:rFonts w:ascii="Times New Roman" w:hAnsi="Times New Roman" w:eastAsia="宋体" w:cs="Times New Roman"/>
      <w:sz w:val="24"/>
      <w:szCs w:val="24"/>
    </w:rPr>
  </w:style>
  <w:style w:type="paragraph" w:customStyle="1" w:styleId="44">
    <w:name w:val="正文_1_1"/>
    <w:qFormat/>
    <w:uiPriority w:val="0"/>
    <w:pPr>
      <w:widowControl w:val="0"/>
      <w:jc w:val="both"/>
    </w:pPr>
    <w:rPr>
      <w:rFonts w:ascii="Calibri" w:hAnsi="Calibri" w:eastAsia="宋体" w:cs="Times New Roman"/>
      <w:kern w:val="2"/>
      <w:sz w:val="21"/>
      <w:szCs w:val="24"/>
      <w:lang w:val="en-US" w:eastAsia="zh-CN" w:bidi="ar-SA"/>
    </w:rPr>
  </w:style>
  <w:style w:type="character" w:customStyle="1" w:styleId="45">
    <w:name w:val="NormalCharacter"/>
    <w:qFormat/>
    <w:uiPriority w:val="0"/>
  </w:style>
  <w:style w:type="paragraph" w:customStyle="1" w:styleId="46">
    <w:name w:val="普通文字"/>
    <w:basedOn w:val="1"/>
    <w:next w:val="1"/>
    <w:qFormat/>
    <w:uiPriority w:val="99"/>
    <w:rPr>
      <w:rFonts w:ascii="宋体"/>
      <w:kern w:val="0"/>
      <w:sz w:val="24"/>
      <w:u w:val="none" w:color="000000"/>
    </w:rPr>
  </w:style>
  <w:style w:type="paragraph" w:customStyle="1" w:styleId="47">
    <w:name w:val="Table Paragraph"/>
    <w:basedOn w:val="1"/>
    <w:qFormat/>
    <w:uiPriority w:val="1"/>
    <w:pPr>
      <w:spacing w:line="360" w:lineRule="auto"/>
      <w:ind w:firstLine="260" w:firstLineChars="200"/>
      <w:jc w:val="left"/>
    </w:pPr>
    <w:rPr>
      <w:rFonts w:ascii="Calibri" w:hAnsi="Calibri" w:eastAsia="仿宋"/>
      <w:kern w:val="0"/>
      <w:sz w:val="28"/>
      <w:szCs w:val="22"/>
      <w:lang w:eastAsia="en-US"/>
    </w:rPr>
  </w:style>
  <w:style w:type="paragraph" w:customStyle="1" w:styleId="48">
    <w:name w:val="方案正文"/>
    <w:basedOn w:val="1"/>
    <w:qFormat/>
    <w:uiPriority w:val="0"/>
    <w:pPr>
      <w:widowControl/>
      <w:adjustRightInd w:val="0"/>
      <w:snapToGrid w:val="0"/>
      <w:spacing w:line="360" w:lineRule="auto"/>
      <w:ind w:firstLine="200" w:firstLineChars="200"/>
    </w:pPr>
    <w:rPr>
      <w:rFonts w:ascii="方正仿宋_GBK" w:hAnsi="方正仿宋_GBK" w:eastAsia="方正仿宋_GBK" w:cs="方正仿宋_GBK"/>
      <w:bCs/>
      <w:kern w:val="0"/>
      <w:sz w:val="28"/>
      <w:szCs w:val="28"/>
    </w:rPr>
  </w:style>
  <w:style w:type="paragraph" w:customStyle="1" w:styleId="49">
    <w:name w:val="正文_1"/>
    <w:qFormat/>
    <w:uiPriority w:val="0"/>
    <w:pPr>
      <w:widowControl w:val="0"/>
      <w:jc w:val="both"/>
    </w:pPr>
    <w:rPr>
      <w:rFonts w:ascii="Calibri" w:hAnsi="Calibri" w:eastAsia="等线" w:cs="Times New Roman"/>
      <w:kern w:val="2"/>
      <w:sz w:val="21"/>
      <w:szCs w:val="24"/>
      <w:lang w:val="en-US" w:eastAsia="zh-CN" w:bidi="ar-SA"/>
    </w:rPr>
  </w:style>
  <w:style w:type="paragraph" w:customStyle="1" w:styleId="50">
    <w:name w:val="首行缩进"/>
    <w:basedOn w:val="1"/>
    <w:qFormat/>
    <w:uiPriority w:val="0"/>
    <w:pPr>
      <w:ind w:firstLine="480"/>
      <w:jc w:val="left"/>
    </w:pPr>
    <w:rPr>
      <w:rFonts w:ascii="宋体" w:hAnsi="宋体" w:cs="Calibri"/>
      <w:szCs w:val="21"/>
    </w:rPr>
  </w:style>
  <w:style w:type="paragraph" w:customStyle="1" w:styleId="51">
    <w:name w:val="正文缩进1"/>
    <w:basedOn w:val="1"/>
    <w:qFormat/>
    <w:uiPriority w:val="0"/>
    <w:pPr>
      <w:autoSpaceDE w:val="0"/>
      <w:autoSpaceDN w:val="0"/>
      <w:adjustRightInd w:val="0"/>
      <w:ind w:firstLine="420"/>
      <w:jc w:val="left"/>
    </w:pPr>
    <w:rPr>
      <w:rFonts w:ascii="宋体" w:hAnsi="Calibri" w:eastAsia="宋体" w:cs="Times New Roman"/>
      <w:sz w:val="24"/>
      <w:szCs w:val="22"/>
    </w:rPr>
  </w:style>
  <w:style w:type="paragraph" w:customStyle="1" w:styleId="52">
    <w:name w:val="索引 11"/>
    <w:basedOn w:val="1"/>
    <w:next w:val="1"/>
    <w:qFormat/>
    <w:uiPriority w:val="0"/>
    <w:pPr>
      <w:spacing w:line="360" w:lineRule="auto"/>
    </w:pPr>
    <w:rPr>
      <w:rFonts w:ascii="仿宋_GB2312" w:eastAsia="仿宋_GB2312"/>
      <w:sz w:val="24"/>
      <w:szCs w:val="20"/>
    </w:rPr>
  </w:style>
  <w:style w:type="paragraph" w:customStyle="1" w:styleId="53">
    <w:name w:val="纯文本1"/>
    <w:basedOn w:val="1"/>
    <w:qFormat/>
    <w:uiPriority w:val="0"/>
    <w:pPr>
      <w:adjustRightInd w:val="0"/>
      <w:textAlignment w:val="baseline"/>
    </w:pPr>
    <w:rPr>
      <w:rFonts w:ascii="宋体" w:hAnsi="Courier New" w:eastAsia="楷体_GB2312"/>
      <w:sz w:val="28"/>
      <w:szCs w:val="20"/>
    </w:rPr>
  </w:style>
  <w:style w:type="paragraph" w:customStyle="1" w:styleId="54">
    <w:name w:val="标题 31"/>
    <w:basedOn w:val="1"/>
    <w:next w:val="1"/>
    <w:qFormat/>
    <w:uiPriority w:val="0"/>
    <w:pPr>
      <w:keepNext/>
      <w:keepLines/>
      <w:widowControl/>
      <w:tabs>
        <w:tab w:val="left" w:pos="720"/>
      </w:tabs>
      <w:spacing w:before="120" w:after="120" w:line="360" w:lineRule="auto"/>
      <w:ind w:left="720" w:hanging="720"/>
      <w:jc w:val="center"/>
      <w:outlineLvl w:val="2"/>
    </w:pPr>
    <w:rPr>
      <w:rFonts w:ascii="Times New Roman" w:hAnsi="Times New Roman" w:eastAsia="宋体" w:cs="Times New Roman"/>
      <w:b/>
      <w:sz w:val="32"/>
      <w:szCs w:val="20"/>
    </w:rPr>
  </w:style>
  <w:style w:type="paragraph" w:customStyle="1" w:styleId="55">
    <w:name w:val="标题 11"/>
    <w:basedOn w:val="1"/>
    <w:next w:val="1"/>
    <w:qFormat/>
    <w:uiPriority w:val="0"/>
    <w:pPr>
      <w:keepNext/>
      <w:keepLines/>
      <w:spacing w:before="340" w:beforeAutospacing="0" w:after="330" w:afterAutospacing="0" w:line="576" w:lineRule="auto"/>
      <w:outlineLvl w:val="0"/>
    </w:pPr>
    <w:rPr>
      <w:b/>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oleObject" Target="embeddings/oleObject8.bin"/><Relationship Id="rId14" Type="http://schemas.openxmlformats.org/officeDocument/2006/relationships/oleObject" Target="embeddings/oleObject7.bin"/><Relationship Id="rId13" Type="http://schemas.openxmlformats.org/officeDocument/2006/relationships/oleObject" Target="embeddings/oleObject6.bin"/><Relationship Id="rId12" Type="http://schemas.openxmlformats.org/officeDocument/2006/relationships/oleObject" Target="embeddings/oleObject5.bin"/><Relationship Id="rId11" Type="http://schemas.openxmlformats.org/officeDocument/2006/relationships/oleObject" Target="embeddings/oleObject4.bin"/><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6B0FDC-627C-427C-92A2-908306AC15F5}">
  <ds:schemaRefs/>
</ds:datastoreItem>
</file>

<file path=docProps/app.xml><?xml version="1.0" encoding="utf-8"?>
<Properties xmlns="http://schemas.openxmlformats.org/officeDocument/2006/extended-properties" xmlns:vt="http://schemas.openxmlformats.org/officeDocument/2006/docPropsVTypes">
  <Template>Normal.dotm</Template>
  <Company>A</Company>
  <Pages>31</Pages>
  <Words>18233</Words>
  <Characters>19309</Characters>
  <Lines>48</Lines>
  <Paragraphs>13</Paragraphs>
  <TotalTime>36</TotalTime>
  <ScaleCrop>false</ScaleCrop>
  <LinksUpToDate>false</LinksUpToDate>
  <CharactersWithSpaces>20729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2019-10-23T07:58:00Z</dcterms:created>
  <dc:creator>DH</dc:creator>
  <cp:lastModifiedBy>晴天安好</cp:lastModifiedBy>
  <cp:lastPrinted>2024-09-27T02:06:00Z</cp:lastPrinted>
  <dcterms:modified xsi:type="dcterms:W3CDTF">2024-10-08T07:58:00Z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AB7DB6B4E4FF41DEB0A2A1B6EE1A7F7E_13</vt:lpwstr>
  </property>
</Properties>
</file>